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78" w:rsidRPr="00C35DE1" w:rsidRDefault="00237B04" w:rsidP="001F7178">
      <w:pPr>
        <w:pStyle w:val="AHPRATitle"/>
        <w:rPr>
          <w:color w:val="00BCCE"/>
          <w:sz w:val="32"/>
          <w:szCs w:val="32"/>
        </w:rPr>
      </w:pPr>
      <w:r>
        <w:rPr>
          <w:color w:val="00BCCE"/>
          <w:sz w:val="32"/>
          <w:szCs w:val="32"/>
        </w:rPr>
        <w:t>Media release</w:t>
      </w:r>
    </w:p>
    <w:p w:rsidR="00ED1FFF" w:rsidRDefault="00F93366" w:rsidP="003B4366">
      <w:pPr>
        <w:pStyle w:val="AHPRAHeadline"/>
        <w:spacing w:after="0"/>
        <w:outlineLvl w:val="0"/>
        <w:rPr>
          <w:sz w:val="20"/>
          <w:szCs w:val="20"/>
        </w:rPr>
      </w:pPr>
      <w:r w:rsidRPr="00F93366">
        <w:rPr>
          <w:color w:val="auto"/>
          <w:sz w:val="20"/>
          <w:szCs w:val="20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154.95pt;height:0;z-index:251657728" o:connectortype="straight"/>
        </w:pict>
      </w:r>
    </w:p>
    <w:p w:rsidR="003B4366" w:rsidRPr="000B14F6" w:rsidRDefault="00E363CF" w:rsidP="003B4366">
      <w:pPr>
        <w:pStyle w:val="AHPRAHeadline"/>
        <w:outlineLvl w:val="0"/>
        <w:rPr>
          <w:color w:val="auto"/>
          <w:sz w:val="20"/>
          <w:szCs w:val="20"/>
        </w:rPr>
      </w:pPr>
      <w:r w:rsidRPr="00E363CF">
        <w:rPr>
          <w:color w:val="auto"/>
          <w:sz w:val="20"/>
          <w:szCs w:val="20"/>
        </w:rPr>
        <w:t>16</w:t>
      </w:r>
      <w:r w:rsidR="003B4366" w:rsidRPr="00E363CF">
        <w:rPr>
          <w:color w:val="auto"/>
          <w:sz w:val="20"/>
          <w:szCs w:val="20"/>
        </w:rPr>
        <w:t xml:space="preserve"> September 2014</w:t>
      </w:r>
    </w:p>
    <w:p w:rsidR="003B4366" w:rsidRPr="000B14F6" w:rsidRDefault="003B4366" w:rsidP="003B4366">
      <w:pPr>
        <w:pStyle w:val="AHPRAHeadline"/>
        <w:outlineLvl w:val="0"/>
        <w:rPr>
          <w:color w:val="60605B"/>
        </w:rPr>
      </w:pPr>
      <w:bookmarkStart w:id="0" w:name="OLE_LINK1"/>
      <w:bookmarkStart w:id="1" w:name="OLE_LINK2"/>
      <w:r>
        <w:rPr>
          <w:color w:val="60605B"/>
        </w:rPr>
        <w:t>Board and AHPRA publish health profession agreement</w:t>
      </w:r>
    </w:p>
    <w:bookmarkEnd w:id="0"/>
    <w:bookmarkEnd w:id="1"/>
    <w:p w:rsidR="00E363CF" w:rsidRDefault="003B4366" w:rsidP="00E363CF">
      <w:pPr>
        <w:pStyle w:val="AHPRAHeadline"/>
        <w:outlineLvl w:val="0"/>
        <w:rPr>
          <w:color w:val="auto"/>
          <w:sz w:val="20"/>
          <w:szCs w:val="20"/>
        </w:rPr>
      </w:pPr>
      <w:r w:rsidRPr="00FE0319">
        <w:rPr>
          <w:color w:val="auto"/>
          <w:sz w:val="20"/>
          <w:szCs w:val="20"/>
        </w:rPr>
        <w:t xml:space="preserve">The </w:t>
      </w:r>
      <w:r>
        <w:rPr>
          <w:color w:val="auto"/>
          <w:sz w:val="20"/>
          <w:szCs w:val="20"/>
        </w:rPr>
        <w:t xml:space="preserve">Medical Board of Australia (the </w:t>
      </w:r>
      <w:r w:rsidRPr="00FE0319">
        <w:rPr>
          <w:color w:val="auto"/>
          <w:sz w:val="20"/>
          <w:szCs w:val="20"/>
        </w:rPr>
        <w:t>Board</w:t>
      </w:r>
      <w:r>
        <w:rPr>
          <w:color w:val="auto"/>
          <w:sz w:val="20"/>
          <w:szCs w:val="20"/>
        </w:rPr>
        <w:t>)</w:t>
      </w:r>
      <w:r w:rsidRPr="00FE0319">
        <w:rPr>
          <w:color w:val="auto"/>
          <w:sz w:val="20"/>
          <w:szCs w:val="20"/>
        </w:rPr>
        <w:t xml:space="preserve"> and AHPRA today </w:t>
      </w:r>
      <w:r>
        <w:rPr>
          <w:color w:val="auto"/>
          <w:sz w:val="20"/>
          <w:szCs w:val="20"/>
        </w:rPr>
        <w:t xml:space="preserve">published </w:t>
      </w:r>
      <w:r w:rsidR="00E363CF">
        <w:rPr>
          <w:color w:val="auto"/>
          <w:sz w:val="20"/>
          <w:szCs w:val="20"/>
        </w:rPr>
        <w:t>the Health Profession Agreement that outlines the partnership between the Board and AHPRA, and the services AHPRA will provide to the Board in 2014/2015.</w:t>
      </w:r>
    </w:p>
    <w:p w:rsidR="00F55A89" w:rsidRDefault="00F55A89" w:rsidP="00F55A89">
      <w:pPr>
        <w:pStyle w:val="AHPRAHeadlin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Board and AHPRA work together to implement the National Registration and Accreditation Scheme, (National Scheme), which </w:t>
      </w:r>
      <w:r w:rsidR="00512547">
        <w:rPr>
          <w:color w:val="auto"/>
          <w:sz w:val="20"/>
          <w:szCs w:val="20"/>
        </w:rPr>
        <w:t>regulates</w:t>
      </w:r>
      <w:r>
        <w:rPr>
          <w:color w:val="auto"/>
          <w:sz w:val="20"/>
          <w:szCs w:val="20"/>
        </w:rPr>
        <w:t xml:space="preserve"> registered health practitioners in Australia, in the public interest.</w:t>
      </w:r>
    </w:p>
    <w:p w:rsidR="003B4366" w:rsidRDefault="003B4366" w:rsidP="003B4366">
      <w:pPr>
        <w:pStyle w:val="AHPRAHeadline"/>
        <w:outlineLvl w:val="0"/>
        <w:rPr>
          <w:color w:val="auto"/>
          <w:sz w:val="20"/>
          <w:szCs w:val="20"/>
        </w:rPr>
      </w:pPr>
      <w:r w:rsidRPr="00FE0319">
        <w:rPr>
          <w:color w:val="auto"/>
          <w:sz w:val="20"/>
          <w:szCs w:val="20"/>
        </w:rPr>
        <w:t xml:space="preserve">The guiding principles of the </w:t>
      </w:r>
      <w:r w:rsidR="00F55A89" w:rsidRPr="00FE0319">
        <w:rPr>
          <w:color w:val="auto"/>
          <w:sz w:val="20"/>
          <w:szCs w:val="20"/>
        </w:rPr>
        <w:t>National Law</w:t>
      </w:r>
      <w:r w:rsidR="00F55A89" w:rsidRPr="00FE0319">
        <w:rPr>
          <w:rStyle w:val="FootnoteReference"/>
          <w:color w:val="auto"/>
          <w:sz w:val="20"/>
          <w:szCs w:val="20"/>
        </w:rPr>
        <w:footnoteReference w:id="1"/>
      </w:r>
      <w:r w:rsidRPr="00FE0319">
        <w:rPr>
          <w:color w:val="auto"/>
          <w:sz w:val="20"/>
          <w:szCs w:val="20"/>
        </w:rPr>
        <w:t xml:space="preserve"> require the National Scheme to operate in a ‘transparent, accountable, efficient, effective and fair way’; and for registration fees to be reasonable ‘having regard to the efficient and effective operation of the scheme’.</w:t>
      </w:r>
      <w:r w:rsidR="00512547">
        <w:rPr>
          <w:color w:val="auto"/>
          <w:sz w:val="20"/>
          <w:szCs w:val="20"/>
        </w:rPr>
        <w:t xml:space="preserve"> </w:t>
      </w:r>
      <w:proofErr w:type="gramStart"/>
      <w:r w:rsidR="00512547">
        <w:rPr>
          <w:color w:val="auto"/>
          <w:sz w:val="20"/>
          <w:szCs w:val="20"/>
        </w:rPr>
        <w:t xml:space="preserve">Agreed </w:t>
      </w:r>
      <w:hyperlink r:id="rId8" w:history="1">
        <w:r w:rsidR="00512547" w:rsidRPr="00512547">
          <w:rPr>
            <w:rStyle w:val="Hyperlink"/>
            <w:sz w:val="20"/>
            <w:szCs w:val="20"/>
          </w:rPr>
          <w:t>regulatory principles for decision making</w:t>
        </w:r>
      </w:hyperlink>
      <w:r w:rsidR="00512547">
        <w:rPr>
          <w:color w:val="auto"/>
          <w:sz w:val="20"/>
          <w:szCs w:val="20"/>
        </w:rPr>
        <w:t xml:space="preserve"> also underpin the work of the Board.</w:t>
      </w:r>
      <w:proofErr w:type="gramEnd"/>
    </w:p>
    <w:p w:rsidR="00F55A89" w:rsidRDefault="00512547" w:rsidP="00F55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</w:t>
      </w:r>
      <w:r w:rsidR="00F55A89">
        <w:rPr>
          <w:rFonts w:ascii="Arial" w:hAnsi="Arial" w:cs="Arial"/>
          <w:sz w:val="20"/>
          <w:szCs w:val="20"/>
        </w:rPr>
        <w:t xml:space="preserve"> is no cross-subsidisation between professions</w:t>
      </w:r>
      <w:r>
        <w:rPr>
          <w:rFonts w:ascii="Arial" w:hAnsi="Arial" w:cs="Arial"/>
          <w:sz w:val="20"/>
          <w:szCs w:val="20"/>
        </w:rPr>
        <w:t xml:space="preserve"> in the scheme, so the </w:t>
      </w:r>
      <w:r w:rsidR="00F55A89">
        <w:rPr>
          <w:rFonts w:ascii="Arial" w:hAnsi="Arial" w:cs="Arial"/>
          <w:sz w:val="20"/>
          <w:szCs w:val="20"/>
        </w:rPr>
        <w:t>regulation of each profession is entirely paid for by that profession’s registration fees.</w:t>
      </w:r>
    </w:p>
    <w:p w:rsidR="003B4366" w:rsidRPr="00FE0319" w:rsidRDefault="003B4366" w:rsidP="003B4366">
      <w:pPr>
        <w:pStyle w:val="AHPRAHeadline"/>
        <w:outlineLvl w:val="0"/>
        <w:rPr>
          <w:color w:val="auto"/>
          <w:sz w:val="20"/>
          <w:szCs w:val="20"/>
        </w:rPr>
      </w:pPr>
      <w:r w:rsidRPr="003B4366">
        <w:rPr>
          <w:color w:val="auto"/>
          <w:sz w:val="20"/>
          <w:szCs w:val="20"/>
        </w:rPr>
        <w:t>Medical Board of Australia Chair, Dr Joanna Flynn AM</w:t>
      </w:r>
      <w:r>
        <w:rPr>
          <w:color w:val="auto"/>
          <w:sz w:val="20"/>
          <w:szCs w:val="20"/>
        </w:rPr>
        <w:t>,</w:t>
      </w:r>
      <w:r w:rsidRPr="0089570C">
        <w:rPr>
          <w:rFonts w:cs="Arial"/>
          <w:color w:val="auto"/>
          <w:sz w:val="20"/>
          <w:szCs w:val="20"/>
        </w:rPr>
        <w:t xml:space="preserve"> said</w:t>
      </w:r>
      <w:r>
        <w:rPr>
          <w:color w:val="auto"/>
          <w:sz w:val="20"/>
          <w:szCs w:val="20"/>
        </w:rPr>
        <w:t xml:space="preserve"> the profession and the community </w:t>
      </w:r>
      <w:r w:rsidR="00512547">
        <w:rPr>
          <w:color w:val="auto"/>
          <w:sz w:val="20"/>
          <w:szCs w:val="20"/>
        </w:rPr>
        <w:t xml:space="preserve">had a right to </w:t>
      </w:r>
      <w:r>
        <w:rPr>
          <w:color w:val="auto"/>
          <w:sz w:val="20"/>
          <w:szCs w:val="20"/>
        </w:rPr>
        <w:t xml:space="preserve">know how registration fees </w:t>
      </w:r>
      <w:r w:rsidR="00512547">
        <w:rPr>
          <w:color w:val="auto"/>
          <w:sz w:val="20"/>
          <w:szCs w:val="20"/>
        </w:rPr>
        <w:t xml:space="preserve">were </w:t>
      </w:r>
      <w:r>
        <w:rPr>
          <w:color w:val="auto"/>
          <w:sz w:val="20"/>
          <w:szCs w:val="20"/>
        </w:rPr>
        <w:t>used</w:t>
      </w:r>
      <w:r w:rsidR="00512547">
        <w:rPr>
          <w:color w:val="auto"/>
          <w:sz w:val="20"/>
          <w:szCs w:val="20"/>
        </w:rPr>
        <w:t xml:space="preserve"> to support patient safety</w:t>
      </w:r>
      <w:r>
        <w:rPr>
          <w:color w:val="auto"/>
          <w:sz w:val="20"/>
          <w:szCs w:val="20"/>
        </w:rPr>
        <w:t>.</w:t>
      </w:r>
    </w:p>
    <w:p w:rsidR="003B4366" w:rsidRPr="00FE0319" w:rsidRDefault="003B4366" w:rsidP="003B4366">
      <w:pPr>
        <w:pStyle w:val="AHPRAHeadline"/>
        <w:outlineLvl w:val="0"/>
        <w:rPr>
          <w:color w:val="auto"/>
          <w:sz w:val="20"/>
          <w:szCs w:val="20"/>
        </w:rPr>
      </w:pPr>
      <w:r w:rsidRPr="00FE0319">
        <w:rPr>
          <w:color w:val="auto"/>
          <w:sz w:val="20"/>
          <w:szCs w:val="20"/>
        </w:rPr>
        <w:t xml:space="preserve">‘We are </w:t>
      </w:r>
      <w:r>
        <w:rPr>
          <w:color w:val="auto"/>
          <w:sz w:val="20"/>
          <w:szCs w:val="20"/>
        </w:rPr>
        <w:t xml:space="preserve">accountable to both the profession and the community </w:t>
      </w:r>
      <w:r w:rsidR="00512547">
        <w:rPr>
          <w:color w:val="auto"/>
          <w:sz w:val="20"/>
          <w:szCs w:val="20"/>
        </w:rPr>
        <w:t xml:space="preserve">and are committed to providing </w:t>
      </w:r>
      <w:r>
        <w:rPr>
          <w:color w:val="auto"/>
          <w:sz w:val="20"/>
          <w:szCs w:val="20"/>
        </w:rPr>
        <w:t xml:space="preserve">as much information as possible about how </w:t>
      </w:r>
      <w:r w:rsidR="00512547">
        <w:rPr>
          <w:color w:val="auto"/>
          <w:sz w:val="20"/>
          <w:szCs w:val="20"/>
        </w:rPr>
        <w:t xml:space="preserve">we allocate </w:t>
      </w:r>
      <w:r>
        <w:rPr>
          <w:color w:val="auto"/>
          <w:sz w:val="20"/>
          <w:szCs w:val="20"/>
        </w:rPr>
        <w:t xml:space="preserve">registration fees to regulate the profession in Australia,’ Dr Flynn </w:t>
      </w:r>
      <w:r w:rsidRPr="00FE0319">
        <w:rPr>
          <w:color w:val="auto"/>
          <w:sz w:val="20"/>
          <w:szCs w:val="20"/>
        </w:rPr>
        <w:t>said.</w:t>
      </w:r>
    </w:p>
    <w:p w:rsidR="00512547" w:rsidRDefault="003B4366" w:rsidP="00512547">
      <w:pPr>
        <w:pStyle w:val="AHPRAHeadline"/>
        <w:outlineLvl w:val="0"/>
        <w:rPr>
          <w:color w:val="auto"/>
          <w:sz w:val="20"/>
          <w:szCs w:val="20"/>
        </w:rPr>
      </w:pPr>
      <w:r w:rsidRPr="00FE0319">
        <w:rPr>
          <w:color w:val="auto"/>
          <w:sz w:val="20"/>
          <w:szCs w:val="20"/>
        </w:rPr>
        <w:t xml:space="preserve">AHPRA CEO, Martin Fletcher, </w:t>
      </w:r>
      <w:r>
        <w:rPr>
          <w:color w:val="auto"/>
          <w:sz w:val="20"/>
          <w:szCs w:val="20"/>
        </w:rPr>
        <w:t xml:space="preserve">said </w:t>
      </w:r>
      <w:r w:rsidRPr="00FE0319">
        <w:rPr>
          <w:color w:val="auto"/>
          <w:sz w:val="20"/>
          <w:szCs w:val="20"/>
        </w:rPr>
        <w:t xml:space="preserve">that the Board and AHPRA were committed to </w:t>
      </w:r>
      <w:r>
        <w:rPr>
          <w:color w:val="auto"/>
          <w:sz w:val="20"/>
          <w:szCs w:val="20"/>
        </w:rPr>
        <w:t xml:space="preserve">working together </w:t>
      </w:r>
      <w:r w:rsidR="00512547">
        <w:rPr>
          <w:color w:val="auto"/>
          <w:sz w:val="20"/>
          <w:szCs w:val="20"/>
        </w:rPr>
        <w:t xml:space="preserve">to effectively regulate health practitioners. </w:t>
      </w:r>
    </w:p>
    <w:p w:rsidR="003B4366" w:rsidRDefault="00512547" w:rsidP="00512547">
      <w:pPr>
        <w:pStyle w:val="AHPRAHeadline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‘Transparency, within the National Law, is a shared commitment from the Board and AHPRA and the annual publication of this agreement reflects that,’ he said.</w:t>
      </w:r>
    </w:p>
    <w:p w:rsidR="003B4366" w:rsidRDefault="003B4366" w:rsidP="003B4366">
      <w:pPr>
        <w:pStyle w:val="AHPRAHeadline"/>
        <w:spacing w:after="0"/>
        <w:outlineLvl w:val="0"/>
        <w:rPr>
          <w:rFonts w:cs="Arial"/>
          <w:color w:val="auto"/>
          <w:sz w:val="20"/>
          <w:szCs w:val="20"/>
        </w:rPr>
      </w:pPr>
      <w:r w:rsidRPr="00544DD8">
        <w:rPr>
          <w:color w:val="auto"/>
          <w:sz w:val="20"/>
          <w:szCs w:val="20"/>
        </w:rPr>
        <w:t xml:space="preserve">The 2014/15 </w:t>
      </w:r>
      <w:r>
        <w:rPr>
          <w:rFonts w:cs="Arial"/>
          <w:color w:val="auto"/>
          <w:sz w:val="20"/>
          <w:szCs w:val="20"/>
        </w:rPr>
        <w:t xml:space="preserve">Medical </w:t>
      </w:r>
      <w:r w:rsidRPr="00544DD8">
        <w:rPr>
          <w:rFonts w:cs="Arial"/>
          <w:color w:val="auto"/>
          <w:sz w:val="20"/>
          <w:szCs w:val="20"/>
        </w:rPr>
        <w:t xml:space="preserve">Board of Australia and AHPRA Health Profession Agreement </w:t>
      </w:r>
      <w:proofErr w:type="gramStart"/>
      <w:r w:rsidRPr="00544DD8">
        <w:rPr>
          <w:rFonts w:cs="Arial"/>
          <w:color w:val="auto"/>
          <w:sz w:val="20"/>
          <w:szCs w:val="20"/>
        </w:rPr>
        <w:t>is</w:t>
      </w:r>
      <w:proofErr w:type="gramEnd"/>
      <w:r w:rsidRPr="00544DD8">
        <w:rPr>
          <w:rFonts w:cs="Arial"/>
          <w:color w:val="auto"/>
          <w:sz w:val="20"/>
          <w:szCs w:val="20"/>
        </w:rPr>
        <w:t xml:space="preserve"> available </w:t>
      </w:r>
      <w:r>
        <w:rPr>
          <w:rFonts w:cs="Arial"/>
          <w:color w:val="auto"/>
          <w:sz w:val="20"/>
          <w:szCs w:val="20"/>
        </w:rPr>
        <w:t xml:space="preserve">at </w:t>
      </w:r>
      <w:r w:rsidRPr="003B4366">
        <w:rPr>
          <w:rFonts w:cs="Arial"/>
          <w:color w:val="auto"/>
          <w:sz w:val="20"/>
          <w:szCs w:val="20"/>
        </w:rPr>
        <w:t>www.medicalboard.gov.au</w:t>
      </w:r>
      <w:r w:rsidRPr="00544DD8">
        <w:rPr>
          <w:rFonts w:cs="Arial"/>
          <w:color w:val="auto"/>
          <w:sz w:val="20"/>
          <w:szCs w:val="20"/>
        </w:rPr>
        <w:t>.</w:t>
      </w:r>
    </w:p>
    <w:p w:rsidR="003B4366" w:rsidRPr="003B4366" w:rsidRDefault="003B4366" w:rsidP="003B4366">
      <w:pPr>
        <w:pStyle w:val="AHPRAHeadline"/>
        <w:spacing w:after="0"/>
        <w:outlineLvl w:val="0"/>
        <w:rPr>
          <w:rFonts w:cs="Arial"/>
          <w:color w:val="auto"/>
          <w:sz w:val="20"/>
          <w:szCs w:val="20"/>
        </w:rPr>
      </w:pPr>
    </w:p>
    <w:p w:rsidR="003B4366" w:rsidRPr="003B4366" w:rsidRDefault="003B4366" w:rsidP="003B4366">
      <w:pPr>
        <w:pStyle w:val="AHPRASubhead"/>
        <w:spacing w:after="0"/>
        <w:rPr>
          <w:rFonts w:cs="Arial"/>
          <w:b w:val="0"/>
          <w:i/>
          <w:szCs w:val="20"/>
        </w:rPr>
      </w:pPr>
      <w:r w:rsidRPr="003B4366">
        <w:rPr>
          <w:rFonts w:cs="Arial"/>
          <w:b w:val="0"/>
          <w:i/>
          <w:szCs w:val="20"/>
        </w:rPr>
        <w:t>For more information</w:t>
      </w:r>
    </w:p>
    <w:p w:rsidR="003B4366" w:rsidRPr="003B4366" w:rsidRDefault="003B4366" w:rsidP="003B436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3B4366">
        <w:rPr>
          <w:rFonts w:ascii="Arial" w:hAnsi="Arial" w:cs="Arial"/>
          <w:sz w:val="20"/>
          <w:szCs w:val="20"/>
        </w:rPr>
        <w:t xml:space="preserve">Visit </w:t>
      </w:r>
      <w:hyperlink r:id="rId9" w:history="1">
        <w:r w:rsidRPr="003B4366">
          <w:rPr>
            <w:rStyle w:val="Hyperlink"/>
            <w:rFonts w:ascii="Arial" w:hAnsi="Arial" w:cs="Arial"/>
            <w:sz w:val="20"/>
            <w:szCs w:val="20"/>
          </w:rPr>
          <w:t>www.ahpra.gov.au</w:t>
        </w:r>
      </w:hyperlink>
    </w:p>
    <w:p w:rsidR="003B4366" w:rsidRPr="003B4366" w:rsidRDefault="003B4366" w:rsidP="003B436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3B4366">
        <w:rPr>
          <w:rFonts w:ascii="Arial" w:hAnsi="Arial" w:cs="Arial"/>
          <w:sz w:val="20"/>
          <w:szCs w:val="20"/>
        </w:rPr>
        <w:t>For registration enquiries: 1300 419 495 (within Australia) +61 3 8708 9001 (overseas callers)</w:t>
      </w:r>
    </w:p>
    <w:p w:rsidR="003B4366" w:rsidRPr="003B4366" w:rsidRDefault="003B4366" w:rsidP="003B436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3B4366">
        <w:rPr>
          <w:rFonts w:ascii="Arial" w:hAnsi="Arial" w:cs="Arial"/>
          <w:sz w:val="20"/>
          <w:szCs w:val="20"/>
        </w:rPr>
        <w:t>For media enquiries: (03) 8708 9200</w:t>
      </w:r>
    </w:p>
    <w:sectPr w:rsidR="003B4366" w:rsidRPr="003B4366" w:rsidSect="008B09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3686" w:right="1270" w:bottom="1985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66" w:rsidRDefault="003B4366" w:rsidP="001F7178">
      <w:pPr>
        <w:spacing w:after="0"/>
      </w:pPr>
      <w:r>
        <w:separator/>
      </w:r>
    </w:p>
  </w:endnote>
  <w:endnote w:type="continuationSeparator" w:id="0">
    <w:p w:rsidR="003B4366" w:rsidRDefault="003B4366" w:rsidP="001F7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T L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66" w:rsidRDefault="00F93366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3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366" w:rsidRDefault="003B4366" w:rsidP="001F71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66" w:rsidRDefault="00F93366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3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3CF">
      <w:rPr>
        <w:rStyle w:val="PageNumber"/>
        <w:noProof/>
      </w:rPr>
      <w:t>2</w:t>
    </w:r>
    <w:r>
      <w:rPr>
        <w:rStyle w:val="PageNumber"/>
      </w:rPr>
      <w:fldChar w:fldCharType="end"/>
    </w:r>
  </w:p>
  <w:p w:rsidR="003B4366" w:rsidRPr="00D638E0" w:rsidRDefault="003B4366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>
      <w:rPr>
        <w:rFonts w:ascii="Arial" w:hAnsi="Arial" w:cs="Arial"/>
        <w:b/>
        <w:color w:val="424342"/>
      </w:rPr>
      <w:t xml:space="preserve">Medical Board of </w:t>
    </w:r>
    <w:r w:rsidRPr="00D638E0">
      <w:rPr>
        <w:rFonts w:ascii="Arial" w:hAnsi="Arial" w:cs="Arial"/>
        <w:b/>
        <w:color w:val="424342"/>
      </w:rPr>
      <w:t>Australia</w:t>
    </w:r>
  </w:p>
  <w:p w:rsidR="003B4366" w:rsidRPr="00D638E0" w:rsidRDefault="003B4366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</w:t>
    </w:r>
    <w:r>
      <w:rPr>
        <w:rFonts w:ascii="Arial" w:hAnsi="Arial" w:cs="Arial"/>
        <w:szCs w:val="20"/>
      </w:rPr>
      <w:t>medicalboard</w:t>
    </w:r>
    <w:r w:rsidRPr="00D638E0">
      <w:rPr>
        <w:rFonts w:ascii="Arial" w:hAnsi="Arial" w:cs="Arial"/>
        <w:szCs w:val="20"/>
      </w:rPr>
      <w:t>.gov.au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66" w:rsidRDefault="003B4366">
    <w:pPr>
      <w:pStyle w:val="Footer"/>
      <w:jc w:val="right"/>
    </w:pPr>
  </w:p>
  <w:p w:rsidR="003B4366" w:rsidRPr="00D638E0" w:rsidRDefault="003B4366" w:rsidP="00966649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>
      <w:rPr>
        <w:rFonts w:ascii="Arial" w:hAnsi="Arial" w:cs="Arial"/>
        <w:b/>
        <w:color w:val="424342"/>
      </w:rPr>
      <w:t xml:space="preserve">Medical Board of </w:t>
    </w:r>
    <w:r w:rsidRPr="00D638E0">
      <w:rPr>
        <w:rFonts w:ascii="Arial" w:hAnsi="Arial" w:cs="Arial"/>
        <w:b/>
        <w:color w:val="424342"/>
      </w:rPr>
      <w:t>Australia</w:t>
    </w:r>
  </w:p>
  <w:p w:rsidR="003B4366" w:rsidRPr="00D638E0" w:rsidRDefault="003B4366" w:rsidP="00966649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</w:t>
    </w:r>
    <w:r>
      <w:rPr>
        <w:rFonts w:ascii="Arial" w:hAnsi="Arial" w:cs="Arial"/>
        <w:szCs w:val="20"/>
      </w:rPr>
      <w:t>medicalboard</w:t>
    </w:r>
    <w:r w:rsidRPr="00D638E0">
      <w:rPr>
        <w:rFonts w:ascii="Arial" w:hAnsi="Arial" w:cs="Arial"/>
        <w:szCs w:val="20"/>
      </w:rPr>
      <w:t>.gov.au</w:t>
    </w:r>
  </w:p>
  <w:p w:rsidR="003B4366" w:rsidRPr="00AD312E" w:rsidRDefault="003B4366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66" w:rsidRDefault="003B4366" w:rsidP="001F7178">
      <w:pPr>
        <w:spacing w:after="0"/>
      </w:pPr>
      <w:r>
        <w:separator/>
      </w:r>
    </w:p>
  </w:footnote>
  <w:footnote w:type="continuationSeparator" w:id="0">
    <w:p w:rsidR="003B4366" w:rsidRDefault="003B4366" w:rsidP="001F7178">
      <w:pPr>
        <w:spacing w:after="0"/>
      </w:pPr>
      <w:r>
        <w:continuationSeparator/>
      </w:r>
    </w:p>
  </w:footnote>
  <w:footnote w:id="1">
    <w:p w:rsidR="00F55A89" w:rsidRPr="00260E60" w:rsidRDefault="00F55A89" w:rsidP="00F55A89">
      <w:pPr>
        <w:pStyle w:val="AHPRAHeadline"/>
        <w:outlineLvl w:val="0"/>
        <w:rPr>
          <w:color w:val="auto"/>
          <w:sz w:val="18"/>
          <w:szCs w:val="18"/>
        </w:rPr>
      </w:pPr>
      <w:r w:rsidRPr="00260E60">
        <w:rPr>
          <w:color w:val="auto"/>
          <w:sz w:val="18"/>
          <w:szCs w:val="18"/>
          <w:vertAlign w:val="superscript"/>
        </w:rPr>
        <w:footnoteRef/>
      </w:r>
      <w:r w:rsidRPr="00260E60">
        <w:rPr>
          <w:color w:val="auto"/>
          <w:sz w:val="18"/>
          <w:szCs w:val="18"/>
          <w:vertAlign w:val="superscript"/>
        </w:rPr>
        <w:t xml:space="preserve"> </w:t>
      </w:r>
      <w:r w:rsidRPr="00260E60">
        <w:rPr>
          <w:color w:val="auto"/>
          <w:sz w:val="18"/>
          <w:szCs w:val="18"/>
        </w:rPr>
        <w:t>Health Practitioner Regulation National Law, as in force in each state and territory.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66" w:rsidRPr="00315933" w:rsidRDefault="003B4366" w:rsidP="001F7178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66" w:rsidRDefault="003B4366">
    <w:pPr>
      <w:pStyle w:val="Header"/>
    </w:pPr>
  </w:p>
  <w:p w:rsidR="003B4366" w:rsidRDefault="003B4366" w:rsidP="001F7178">
    <w:pPr>
      <w:pStyle w:val="Header"/>
      <w:ind w:left="-1134"/>
      <w:jc w:val="right"/>
    </w:pPr>
    <w:r>
      <w:rPr>
        <w:noProof/>
        <w:lang w:val="en-US"/>
      </w:rPr>
      <w:drawing>
        <wp:inline distT="0" distB="0" distL="0" distR="0">
          <wp:extent cx="1831942" cy="1908047"/>
          <wp:effectExtent l="19050" t="0" r="0" b="0"/>
          <wp:docPr id="5" name="Picture 4" descr="AHPRA_Nursing&amp;Midwif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Nursing&amp;Midwife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42" cy="190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4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9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3"/>
  </w:num>
  <w:num w:numId="4">
    <w:abstractNumId w:val="11"/>
  </w:num>
  <w:num w:numId="5">
    <w:abstractNumId w:val="28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3"/>
  </w:num>
  <w:num w:numId="11">
    <w:abstractNumId w:val="29"/>
  </w:num>
  <w:num w:numId="12">
    <w:abstractNumId w:val="25"/>
  </w:num>
  <w:num w:numId="13">
    <w:abstractNumId w:val="8"/>
  </w:num>
  <w:num w:numId="14">
    <w:abstractNumId w:val="0"/>
  </w:num>
  <w:num w:numId="15">
    <w:abstractNumId w:val="24"/>
  </w:num>
  <w:num w:numId="16">
    <w:abstractNumId w:val="9"/>
  </w:num>
  <w:num w:numId="17">
    <w:abstractNumId w:val="1"/>
  </w:num>
  <w:num w:numId="18">
    <w:abstractNumId w:val="20"/>
  </w:num>
  <w:num w:numId="19">
    <w:abstractNumId w:val="17"/>
  </w:num>
  <w:num w:numId="20">
    <w:abstractNumId w:val="15"/>
  </w:num>
  <w:num w:numId="21">
    <w:abstractNumId w:val="13"/>
  </w:num>
  <w:num w:numId="22">
    <w:abstractNumId w:val="26"/>
  </w:num>
  <w:num w:numId="23">
    <w:abstractNumId w:val="16"/>
  </w:num>
  <w:num w:numId="24">
    <w:abstractNumId w:val="32"/>
  </w:num>
  <w:num w:numId="25">
    <w:abstractNumId w:val="27"/>
  </w:num>
  <w:num w:numId="26">
    <w:abstractNumId w:val="7"/>
  </w:num>
  <w:num w:numId="27">
    <w:abstractNumId w:val="6"/>
  </w:num>
  <w:num w:numId="28">
    <w:abstractNumId w:val="10"/>
  </w:num>
  <w:num w:numId="29">
    <w:abstractNumId w:val="18"/>
  </w:num>
  <w:num w:numId="30">
    <w:abstractNumId w:val="2"/>
  </w:num>
  <w:num w:numId="31">
    <w:abstractNumId w:val="22"/>
  </w:num>
  <w:num w:numId="32">
    <w:abstractNumId w:val="5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0F40"/>
    <w:rsid w:val="00002CB8"/>
    <w:rsid w:val="00013BF1"/>
    <w:rsid w:val="00055AE0"/>
    <w:rsid w:val="0007642C"/>
    <w:rsid w:val="000953C8"/>
    <w:rsid w:val="000B71EF"/>
    <w:rsid w:val="000E5E92"/>
    <w:rsid w:val="0011026F"/>
    <w:rsid w:val="001304D2"/>
    <w:rsid w:val="00133664"/>
    <w:rsid w:val="001673C8"/>
    <w:rsid w:val="001A39C7"/>
    <w:rsid w:val="001E6874"/>
    <w:rsid w:val="001F7178"/>
    <w:rsid w:val="00237B04"/>
    <w:rsid w:val="00261AA5"/>
    <w:rsid w:val="00262FDE"/>
    <w:rsid w:val="00287107"/>
    <w:rsid w:val="002E378F"/>
    <w:rsid w:val="00341C1B"/>
    <w:rsid w:val="003542C2"/>
    <w:rsid w:val="003806E2"/>
    <w:rsid w:val="003975F4"/>
    <w:rsid w:val="003B4366"/>
    <w:rsid w:val="003C02DD"/>
    <w:rsid w:val="003C6AAB"/>
    <w:rsid w:val="0042745C"/>
    <w:rsid w:val="00436C98"/>
    <w:rsid w:val="0047711E"/>
    <w:rsid w:val="004A40BB"/>
    <w:rsid w:val="004D099E"/>
    <w:rsid w:val="004E3E4D"/>
    <w:rsid w:val="00512547"/>
    <w:rsid w:val="005214A0"/>
    <w:rsid w:val="005374BE"/>
    <w:rsid w:val="00543C30"/>
    <w:rsid w:val="00555BD9"/>
    <w:rsid w:val="00583EFF"/>
    <w:rsid w:val="005F3EDB"/>
    <w:rsid w:val="006179C4"/>
    <w:rsid w:val="00637FBB"/>
    <w:rsid w:val="006437D6"/>
    <w:rsid w:val="006B214D"/>
    <w:rsid w:val="006B30FD"/>
    <w:rsid w:val="006E3698"/>
    <w:rsid w:val="006E7F33"/>
    <w:rsid w:val="007476CB"/>
    <w:rsid w:val="007578FC"/>
    <w:rsid w:val="00781150"/>
    <w:rsid w:val="00782659"/>
    <w:rsid w:val="0079735A"/>
    <w:rsid w:val="007D5C51"/>
    <w:rsid w:val="007E0B49"/>
    <w:rsid w:val="007F127D"/>
    <w:rsid w:val="008316C0"/>
    <w:rsid w:val="00837BB0"/>
    <w:rsid w:val="00855259"/>
    <w:rsid w:val="00860BD6"/>
    <w:rsid w:val="00860F40"/>
    <w:rsid w:val="0088018F"/>
    <w:rsid w:val="008B09FA"/>
    <w:rsid w:val="008C1766"/>
    <w:rsid w:val="008E3F27"/>
    <w:rsid w:val="00903DAB"/>
    <w:rsid w:val="00952EAE"/>
    <w:rsid w:val="00966649"/>
    <w:rsid w:val="00967425"/>
    <w:rsid w:val="00974ECD"/>
    <w:rsid w:val="00985877"/>
    <w:rsid w:val="00994B93"/>
    <w:rsid w:val="009B19CA"/>
    <w:rsid w:val="009E18F8"/>
    <w:rsid w:val="00A62A5E"/>
    <w:rsid w:val="00A7209E"/>
    <w:rsid w:val="00A87513"/>
    <w:rsid w:val="00AA65FB"/>
    <w:rsid w:val="00AF209D"/>
    <w:rsid w:val="00B1452F"/>
    <w:rsid w:val="00B629F3"/>
    <w:rsid w:val="00B80776"/>
    <w:rsid w:val="00B8322B"/>
    <w:rsid w:val="00C00BF6"/>
    <w:rsid w:val="00C415F0"/>
    <w:rsid w:val="00C531A6"/>
    <w:rsid w:val="00C56818"/>
    <w:rsid w:val="00C90C3A"/>
    <w:rsid w:val="00CD16A8"/>
    <w:rsid w:val="00D57C3B"/>
    <w:rsid w:val="00D60D3D"/>
    <w:rsid w:val="00D72ECB"/>
    <w:rsid w:val="00D76096"/>
    <w:rsid w:val="00D909E0"/>
    <w:rsid w:val="00D949B7"/>
    <w:rsid w:val="00E02046"/>
    <w:rsid w:val="00E06E25"/>
    <w:rsid w:val="00E17446"/>
    <w:rsid w:val="00E27D80"/>
    <w:rsid w:val="00E363CF"/>
    <w:rsid w:val="00E4055F"/>
    <w:rsid w:val="00E6717B"/>
    <w:rsid w:val="00E71492"/>
    <w:rsid w:val="00E86152"/>
    <w:rsid w:val="00E95143"/>
    <w:rsid w:val="00ED1FFF"/>
    <w:rsid w:val="00ED3453"/>
    <w:rsid w:val="00ED6B30"/>
    <w:rsid w:val="00EE3029"/>
    <w:rsid w:val="00EE4FD1"/>
    <w:rsid w:val="00F1421D"/>
    <w:rsid w:val="00F51AED"/>
    <w:rsid w:val="00F55A89"/>
    <w:rsid w:val="00F93366"/>
    <w:rsid w:val="00FA5AA3"/>
    <w:rsid w:val="00FF70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6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AD0336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43C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543C30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43C30"/>
    <w:rPr>
      <w:vertAlign w:val="superscript"/>
    </w:rPr>
  </w:style>
  <w:style w:type="paragraph" w:customStyle="1" w:styleId="Default">
    <w:name w:val="Default"/>
    <w:rsid w:val="00B832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Regulatory-principle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A68D-7895-44EA-9B23-8E51C1F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2125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and AHPRA publish health profession agreement</dc:title>
  <dc:subject>Media release</dc:subject>
  <dc:creator>Medical Board</dc:creator>
  <dc:description/>
  <cp:lastModifiedBy>Anthony J Roberts</cp:lastModifiedBy>
  <cp:revision>3</cp:revision>
  <cp:lastPrinted>2010-10-17T23:49:00Z</cp:lastPrinted>
  <dcterms:created xsi:type="dcterms:W3CDTF">2014-09-14T23:42:00Z</dcterms:created>
  <dcterms:modified xsi:type="dcterms:W3CDTF">2014-09-16T02:09:00Z</dcterms:modified>
</cp:coreProperties>
</file>