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B2" w:rsidRPr="00A00D37" w:rsidRDefault="00705DB2">
      <w:pPr>
        <w:rPr>
          <w:rFonts w:ascii="Arial" w:hAnsi="Arial" w:cs="Arial"/>
          <w:b/>
          <w:sz w:val="32"/>
          <w:szCs w:val="32"/>
        </w:rPr>
      </w:pPr>
    </w:p>
    <w:p w:rsidR="00705DB2" w:rsidRPr="00B9369E" w:rsidRDefault="00705DB2">
      <w:pPr>
        <w:rPr>
          <w:rFonts w:ascii="Arial" w:hAnsi="Arial" w:cs="Arial"/>
        </w:rPr>
      </w:pPr>
    </w:p>
    <w:p w:rsidR="00705DB2" w:rsidRPr="00B9369E" w:rsidRDefault="00705DB2">
      <w:pPr>
        <w:rPr>
          <w:rFonts w:ascii="Arial" w:hAnsi="Arial" w:cs="Arial"/>
        </w:rPr>
      </w:pPr>
    </w:p>
    <w:p w:rsidR="00E92E3B" w:rsidRPr="00B9369E" w:rsidRDefault="00E92E3B">
      <w:pPr>
        <w:rPr>
          <w:rFonts w:ascii="Arial" w:hAnsi="Arial" w:cs="Arial"/>
        </w:rPr>
      </w:pPr>
    </w:p>
    <w:p w:rsidR="00172B1A" w:rsidRPr="00B9369E" w:rsidRDefault="00172B1A">
      <w:pPr>
        <w:rPr>
          <w:rFonts w:ascii="Arial" w:hAnsi="Arial" w:cs="Arial"/>
        </w:rPr>
      </w:pPr>
    </w:p>
    <w:p w:rsidR="00172B1A" w:rsidRPr="00B9369E" w:rsidRDefault="00E92E3B" w:rsidP="001F7EAB">
      <w:pPr>
        <w:rPr>
          <w:rFonts w:ascii="Arial" w:hAnsi="Arial" w:cs="Arial"/>
          <w:color w:val="54575A" w:themeColor="text1"/>
          <w:sz w:val="20"/>
          <w:szCs w:val="20"/>
        </w:rPr>
      </w:pPr>
      <w:r w:rsidRPr="00B9369E">
        <w:rPr>
          <w:rFonts w:ascii="Arial" w:hAnsi="Arial" w:cs="Arial"/>
          <w:color w:val="54575A" w:themeColor="text1"/>
          <w:sz w:val="28"/>
          <w:szCs w:val="20"/>
        </w:rPr>
        <w:t>Medical Board of Australia</w:t>
      </w:r>
      <w:r w:rsidR="00172B1A" w:rsidRPr="00B9369E">
        <w:rPr>
          <w:rFonts w:ascii="Arial" w:hAnsi="Arial" w:cs="Arial"/>
          <w:color w:val="54575A" w:themeColor="text1"/>
          <w:sz w:val="28"/>
          <w:szCs w:val="20"/>
        </w:rPr>
        <w:t xml:space="preserve">’s </w:t>
      </w:r>
      <w:r w:rsidRPr="00B9369E">
        <w:rPr>
          <w:rFonts w:ascii="Arial" w:hAnsi="Arial" w:cs="Arial"/>
          <w:color w:val="54575A" w:themeColor="text1"/>
          <w:sz w:val="28"/>
          <w:szCs w:val="20"/>
        </w:rPr>
        <w:t xml:space="preserve">response to the </w:t>
      </w:r>
      <w:r w:rsidRPr="00B9369E">
        <w:rPr>
          <w:rFonts w:ascii="Arial" w:hAnsi="Arial" w:cs="Arial"/>
          <w:i/>
          <w:color w:val="54575A" w:themeColor="text1"/>
          <w:sz w:val="28"/>
          <w:szCs w:val="20"/>
        </w:rPr>
        <w:t>External review of the specialist medical colleges’ performance – specialist international medical graduate assessment process</w:t>
      </w:r>
      <w:r w:rsidR="00172B1A" w:rsidRPr="00B9369E">
        <w:rPr>
          <w:rFonts w:ascii="Arial" w:hAnsi="Arial" w:cs="Arial"/>
          <w:color w:val="54575A" w:themeColor="text1"/>
          <w:sz w:val="20"/>
          <w:szCs w:val="20"/>
        </w:rPr>
        <w:t xml:space="preserve"> </w:t>
      </w:r>
    </w:p>
    <w:p w:rsidR="00172B1A" w:rsidRPr="00B9369E" w:rsidRDefault="00172B1A" w:rsidP="001F7EAB">
      <w:pPr>
        <w:rPr>
          <w:rFonts w:ascii="Arial" w:hAnsi="Arial" w:cs="Arial"/>
          <w:color w:val="54575A" w:themeColor="text1"/>
          <w:sz w:val="24"/>
          <w:szCs w:val="20"/>
        </w:rPr>
      </w:pPr>
      <w:bookmarkStart w:id="0" w:name="_GoBack"/>
      <w:bookmarkEnd w:id="0"/>
      <w:r w:rsidRPr="00B9369E">
        <w:rPr>
          <w:rFonts w:ascii="Arial" w:hAnsi="Arial" w:cs="Arial"/>
          <w:color w:val="54575A" w:themeColor="text1"/>
          <w:sz w:val="20"/>
          <w:szCs w:val="20"/>
        </w:rPr>
        <w:t>April 2018</w:t>
      </w: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426"/>
        <w:gridCol w:w="4678"/>
        <w:gridCol w:w="4961"/>
      </w:tblGrid>
      <w:tr w:rsidR="00031BA2" w:rsidRPr="00B9369E" w:rsidTr="00031BA2">
        <w:trPr>
          <w:tblHeader/>
        </w:trPr>
        <w:tc>
          <w:tcPr>
            <w:tcW w:w="5104" w:type="dxa"/>
            <w:gridSpan w:val="2"/>
            <w:tcBorders>
              <w:top w:val="nil"/>
              <w:left w:val="nil"/>
              <w:bottom w:val="nil"/>
              <w:right w:val="nil"/>
            </w:tcBorders>
            <w:shd w:val="clear" w:color="auto" w:fill="00B4E3" w:themeFill="accent1"/>
            <w:tcMar>
              <w:top w:w="113" w:type="dxa"/>
              <w:bottom w:w="113" w:type="dxa"/>
            </w:tcMar>
          </w:tcPr>
          <w:p w:rsidR="00031BA2" w:rsidRPr="00B9369E" w:rsidRDefault="00031BA2" w:rsidP="008D50B2">
            <w:pPr>
              <w:spacing w:before="60" w:after="60"/>
              <w:ind w:left="602"/>
              <w:rPr>
                <w:rFonts w:ascii="Arial" w:hAnsi="Arial" w:cs="Arial"/>
                <w:color w:val="FFFFFF" w:themeColor="background1"/>
                <w:szCs w:val="18"/>
              </w:rPr>
            </w:pPr>
            <w:r w:rsidRPr="00B9369E">
              <w:rPr>
                <w:rFonts w:ascii="Arial" w:hAnsi="Arial" w:cs="Arial"/>
                <w:color w:val="FFFFFF" w:themeColor="background1"/>
                <w:szCs w:val="18"/>
              </w:rPr>
              <w:t xml:space="preserve">Deloitte </w:t>
            </w:r>
            <w:r w:rsidR="00EA29F0">
              <w:rPr>
                <w:rFonts w:ascii="Arial" w:hAnsi="Arial" w:cs="Arial"/>
                <w:color w:val="FFFFFF" w:themeColor="background1"/>
                <w:szCs w:val="18"/>
              </w:rPr>
              <w:t xml:space="preserve">Access Economics </w:t>
            </w:r>
            <w:r w:rsidRPr="00B9369E">
              <w:rPr>
                <w:rFonts w:ascii="Arial" w:hAnsi="Arial" w:cs="Arial"/>
                <w:color w:val="FFFFFF" w:themeColor="background1"/>
                <w:szCs w:val="18"/>
              </w:rPr>
              <w:t>recommendation</w:t>
            </w:r>
          </w:p>
        </w:tc>
        <w:tc>
          <w:tcPr>
            <w:tcW w:w="4961" w:type="dxa"/>
            <w:tcBorders>
              <w:top w:val="nil"/>
              <w:left w:val="nil"/>
              <w:bottom w:val="nil"/>
              <w:right w:val="nil"/>
            </w:tcBorders>
            <w:shd w:val="clear" w:color="auto" w:fill="00B4E3" w:themeFill="accent1"/>
            <w:tcMar>
              <w:top w:w="113" w:type="dxa"/>
              <w:bottom w:w="113" w:type="dxa"/>
            </w:tcMar>
          </w:tcPr>
          <w:p w:rsidR="00031BA2" w:rsidRPr="00B9369E" w:rsidRDefault="00031BA2" w:rsidP="00E92E3B">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c>
          <w:tcPr>
            <w:tcW w:w="426" w:type="dxa"/>
            <w:tcBorders>
              <w:top w:val="nil"/>
              <w:bottom w:val="single" w:sz="4" w:space="0" w:color="00B4E3" w:themeColor="accent1"/>
              <w:right w:val="nil"/>
            </w:tcBorders>
            <w:tcMar>
              <w:top w:w="113" w:type="dxa"/>
              <w:left w:w="113" w:type="dxa"/>
              <w:bottom w:w="113" w:type="dxa"/>
              <w:right w:w="0" w:type="dxa"/>
            </w:tcMar>
          </w:tcPr>
          <w:p w:rsidR="00031BA2" w:rsidRPr="00B9369E" w:rsidRDefault="00031BA2" w:rsidP="009F2CDE">
            <w:pPr>
              <w:spacing w:before="200" w:after="60"/>
              <w:rPr>
                <w:rFonts w:ascii="Arial" w:hAnsi="Arial" w:cs="Arial"/>
                <w:sz w:val="20"/>
                <w:szCs w:val="18"/>
              </w:rPr>
            </w:pPr>
            <w:r w:rsidRPr="00B9369E">
              <w:rPr>
                <w:rFonts w:ascii="Arial" w:hAnsi="Arial" w:cs="Arial"/>
                <w:sz w:val="20"/>
                <w:szCs w:val="18"/>
              </w:rPr>
              <w:t>1</w:t>
            </w:r>
          </w:p>
        </w:tc>
        <w:tc>
          <w:tcPr>
            <w:tcW w:w="4678" w:type="dxa"/>
            <w:tcBorders>
              <w:top w:val="nil"/>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18"/>
              </w:rPr>
            </w:pPr>
            <w:r w:rsidRPr="00B9369E">
              <w:rPr>
                <w:rFonts w:ascii="Arial" w:hAnsi="Arial" w:cs="Arial"/>
                <w:sz w:val="20"/>
                <w:szCs w:val="18"/>
              </w:rPr>
              <w:t xml:space="preserve">It is recommended that the </w:t>
            </w:r>
            <w:r w:rsidRPr="00B9369E">
              <w:rPr>
                <w:rFonts w:ascii="Arial" w:hAnsi="Arial" w:cs="Arial"/>
                <w:i/>
                <w:iCs/>
                <w:sz w:val="20"/>
                <w:szCs w:val="18"/>
              </w:rPr>
              <w:t xml:space="preserve">Good Practice Guidelines </w:t>
            </w:r>
            <w:r w:rsidRPr="00B9369E">
              <w:rPr>
                <w:rFonts w:ascii="Arial" w:hAnsi="Arial" w:cs="Arial"/>
                <w:sz w:val="20"/>
                <w:szCs w:val="18"/>
              </w:rPr>
              <w:t xml:space="preserve">are reviewed and streamlined to ensure they provide clear guidance to colleges on the precise requirements for each stage of the assessment process. This includes clearly distinguishing between aspects of the </w:t>
            </w:r>
            <w:r w:rsidRPr="00B9369E">
              <w:rPr>
                <w:rFonts w:ascii="Arial" w:hAnsi="Arial" w:cs="Arial"/>
                <w:i/>
                <w:iCs/>
                <w:sz w:val="20"/>
                <w:szCs w:val="18"/>
              </w:rPr>
              <w:t xml:space="preserve">Good Practice Guidelines </w:t>
            </w:r>
            <w:r w:rsidRPr="00B9369E">
              <w:rPr>
                <w:rFonts w:ascii="Arial" w:hAnsi="Arial" w:cs="Arial"/>
                <w:sz w:val="20"/>
                <w:szCs w:val="18"/>
              </w:rPr>
              <w:t>that are requirements, and those that are recommendations where discretion can be exercised.</w:t>
            </w:r>
          </w:p>
          <w:p w:rsidR="00031BA2" w:rsidRPr="00B9369E" w:rsidRDefault="00031BA2" w:rsidP="00031BA2">
            <w:pPr>
              <w:autoSpaceDE w:val="0"/>
              <w:autoSpaceDN w:val="0"/>
              <w:adjustRightInd w:val="0"/>
              <w:spacing w:before="200" w:after="200"/>
              <w:rPr>
                <w:rFonts w:ascii="Arial" w:hAnsi="Arial" w:cs="Arial"/>
                <w:sz w:val="20"/>
                <w:szCs w:val="18"/>
              </w:rPr>
            </w:pPr>
            <w:r w:rsidRPr="00B9369E">
              <w:rPr>
                <w:rFonts w:ascii="Arial" w:hAnsi="Arial" w:cs="Arial"/>
                <w:sz w:val="20"/>
                <w:szCs w:val="18"/>
              </w:rPr>
              <w:t>To further assist colleges with implementation, the guidelines could include a detailed checklist of requirements and recommendations against each aspect of the assessment process.</w:t>
            </w:r>
          </w:p>
          <w:p w:rsidR="00031BA2" w:rsidRPr="00B9369E" w:rsidRDefault="00031BA2" w:rsidP="00031BA2">
            <w:pPr>
              <w:autoSpaceDE w:val="0"/>
              <w:autoSpaceDN w:val="0"/>
              <w:adjustRightInd w:val="0"/>
              <w:spacing w:before="200" w:after="200"/>
              <w:rPr>
                <w:rFonts w:ascii="Arial" w:hAnsi="Arial" w:cs="Arial"/>
                <w:sz w:val="20"/>
                <w:szCs w:val="18"/>
              </w:rPr>
            </w:pPr>
            <w:r w:rsidRPr="00B9369E">
              <w:rPr>
                <w:rFonts w:ascii="Arial" w:hAnsi="Arial" w:cs="Arial"/>
                <w:sz w:val="20"/>
                <w:szCs w:val="18"/>
              </w:rPr>
              <w:t>In addition, the guidelines could provide examples or case studies related to good practice for key aspects of the assessment process. This may be particularly helpful for smaller colleges that have limited internal resources available to support implementation.</w:t>
            </w:r>
          </w:p>
        </w:tc>
        <w:tc>
          <w:tcPr>
            <w:tcW w:w="4961" w:type="dxa"/>
            <w:tcBorders>
              <w:top w:val="nil"/>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 xml:space="preserve">The Board accepts this recommendation and will review the </w:t>
            </w:r>
            <w:r w:rsidRPr="00B9369E">
              <w:rPr>
                <w:rFonts w:ascii="Arial" w:hAnsi="Arial" w:cs="Arial"/>
                <w:i/>
                <w:sz w:val="20"/>
                <w:szCs w:val="18"/>
              </w:rPr>
              <w:t>Good practice guidelines</w:t>
            </w:r>
            <w:r w:rsidRPr="00B9369E">
              <w:rPr>
                <w:rFonts w:ascii="Arial" w:hAnsi="Arial" w:cs="Arial"/>
                <w:sz w:val="20"/>
                <w:szCs w:val="18"/>
              </w:rPr>
              <w:t xml:space="preserve">. All elements of the </w:t>
            </w:r>
            <w:r w:rsidRPr="00B9369E">
              <w:rPr>
                <w:rFonts w:ascii="Arial" w:hAnsi="Arial" w:cs="Arial"/>
                <w:i/>
                <w:sz w:val="20"/>
                <w:szCs w:val="18"/>
              </w:rPr>
              <w:t>Good practice guidelines</w:t>
            </w:r>
            <w:r w:rsidRPr="00B9369E">
              <w:rPr>
                <w:rFonts w:ascii="Arial" w:hAnsi="Arial" w:cs="Arial"/>
                <w:sz w:val="20"/>
                <w:szCs w:val="18"/>
              </w:rPr>
              <w:t xml:space="preserve"> will be reviewed.</w:t>
            </w:r>
          </w:p>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 xml:space="preserve">The Board will convene a working group of the National Specialist IMG Committee (NSIMGC) with external appointees and college representatives.  </w:t>
            </w:r>
          </w:p>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 xml:space="preserve">The review will commence in mid-2018 and will include wide public consultation with colleges and other stakeholders. </w:t>
            </w:r>
          </w:p>
        </w:tc>
      </w:tr>
    </w:tbl>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B9369E" w:rsidRDefault="00B9369E">
      <w:pPr>
        <w:rPr>
          <w:rFonts w:ascii="Arial" w:hAnsi="Arial" w:cs="Arial"/>
        </w:rPr>
      </w:pPr>
      <w:r>
        <w:rPr>
          <w:rFonts w:ascii="Arial" w:hAnsi="Arial" w:cs="Arial"/>
        </w:rPr>
        <w:br w:type="page"/>
      </w: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426"/>
        <w:gridCol w:w="4678"/>
        <w:gridCol w:w="4961"/>
      </w:tblGrid>
      <w:tr w:rsidR="00031BA2" w:rsidRPr="00B9369E" w:rsidTr="00031BA2">
        <w:trPr>
          <w:tblHeader/>
        </w:trPr>
        <w:tc>
          <w:tcPr>
            <w:tcW w:w="5104" w:type="dxa"/>
            <w:gridSpan w:val="2"/>
            <w:tcBorders>
              <w:top w:val="nil"/>
              <w:left w:val="nil"/>
              <w:bottom w:val="nil"/>
              <w:right w:val="nil"/>
            </w:tcBorders>
            <w:shd w:val="clear" w:color="auto" w:fill="00B4E3" w:themeFill="accent1"/>
            <w:tcMar>
              <w:top w:w="113" w:type="dxa"/>
              <w:bottom w:w="113" w:type="dxa"/>
            </w:tcMar>
          </w:tcPr>
          <w:p w:rsidR="00031BA2" w:rsidRPr="00B9369E" w:rsidRDefault="00EA29F0" w:rsidP="00C57943">
            <w:pPr>
              <w:spacing w:before="60" w:after="60"/>
              <w:ind w:left="602"/>
              <w:rPr>
                <w:rFonts w:ascii="Arial" w:hAnsi="Arial" w:cs="Arial"/>
                <w:color w:val="FFFFFF" w:themeColor="background1"/>
                <w:szCs w:val="18"/>
              </w:rPr>
            </w:pPr>
            <w:r w:rsidRPr="00B9369E">
              <w:rPr>
                <w:rFonts w:ascii="Arial" w:hAnsi="Arial" w:cs="Arial"/>
                <w:color w:val="FFFFFF" w:themeColor="background1"/>
                <w:szCs w:val="18"/>
              </w:rPr>
              <w:lastRenderedPageBreak/>
              <w:t xml:space="preserve">Deloitte </w:t>
            </w:r>
            <w:r>
              <w:rPr>
                <w:rFonts w:ascii="Arial" w:hAnsi="Arial" w:cs="Arial"/>
                <w:color w:val="FFFFFF" w:themeColor="background1"/>
                <w:szCs w:val="18"/>
              </w:rPr>
              <w:t>Access Economics</w:t>
            </w:r>
            <w:r w:rsidR="00031BA2" w:rsidRPr="00B9369E">
              <w:rPr>
                <w:rFonts w:ascii="Arial" w:hAnsi="Arial" w:cs="Arial"/>
                <w:color w:val="FFFFFF" w:themeColor="background1"/>
                <w:szCs w:val="18"/>
              </w:rPr>
              <w:t xml:space="preserve"> recommendation</w:t>
            </w:r>
          </w:p>
        </w:tc>
        <w:tc>
          <w:tcPr>
            <w:tcW w:w="4961" w:type="dxa"/>
            <w:tcBorders>
              <w:top w:val="nil"/>
              <w:left w:val="nil"/>
              <w:bottom w:val="nil"/>
              <w:right w:val="nil"/>
            </w:tcBorders>
            <w:shd w:val="clear" w:color="auto" w:fill="00B4E3" w:themeFill="accent1"/>
            <w:tcMar>
              <w:top w:w="113" w:type="dxa"/>
              <w:bottom w:w="113" w:type="dxa"/>
            </w:tcMar>
          </w:tcPr>
          <w:p w:rsidR="00031BA2" w:rsidRPr="00B9369E" w:rsidRDefault="00031BA2"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c>
          <w:tcPr>
            <w:tcW w:w="426" w:type="dxa"/>
            <w:tcBorders>
              <w:top w:val="nil"/>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3</w:t>
            </w:r>
          </w:p>
        </w:tc>
        <w:tc>
          <w:tcPr>
            <w:tcW w:w="4678" w:type="dxa"/>
            <w:tcBorders>
              <w:top w:val="nil"/>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18"/>
              </w:rPr>
            </w:pPr>
            <w:r w:rsidRPr="00B9369E">
              <w:rPr>
                <w:rFonts w:ascii="Arial" w:hAnsi="Arial" w:cs="Arial"/>
                <w:sz w:val="20"/>
                <w:szCs w:val="18"/>
              </w:rPr>
              <w:t xml:space="preserve">It is recommended that the </w:t>
            </w:r>
            <w:r w:rsidRPr="00B9369E">
              <w:rPr>
                <w:rFonts w:ascii="Arial" w:hAnsi="Arial" w:cs="Arial"/>
                <w:i/>
                <w:iCs/>
                <w:sz w:val="20"/>
                <w:szCs w:val="18"/>
              </w:rPr>
              <w:t xml:space="preserve">Good Practice Guidelines </w:t>
            </w:r>
            <w:r w:rsidRPr="00B9369E">
              <w:rPr>
                <w:rFonts w:ascii="Arial" w:hAnsi="Arial" w:cs="Arial"/>
                <w:sz w:val="20"/>
                <w:szCs w:val="18"/>
              </w:rPr>
              <w:t xml:space="preserve">require colleges to publish a separate fee schedule specific for SIMGs which provides detailed descriptions of the activities covered by each fee, and when the fee is payable. Colleges could also be required to publish an indicative total fee, or range of fees, for the entire assessment process, based on whether the SIMG is found to be partially or substantially comparable. </w:t>
            </w:r>
          </w:p>
          <w:p w:rsidR="00031BA2" w:rsidRPr="00B9369E" w:rsidRDefault="00031BA2" w:rsidP="00031BA2">
            <w:pPr>
              <w:autoSpaceDE w:val="0"/>
              <w:autoSpaceDN w:val="0"/>
              <w:adjustRightInd w:val="0"/>
              <w:spacing w:before="200" w:after="200"/>
              <w:rPr>
                <w:rFonts w:ascii="Arial" w:hAnsi="Arial" w:cs="Arial"/>
                <w:sz w:val="20"/>
                <w:szCs w:val="18"/>
              </w:rPr>
            </w:pPr>
          </w:p>
        </w:tc>
        <w:tc>
          <w:tcPr>
            <w:tcW w:w="4961" w:type="dxa"/>
            <w:tcBorders>
              <w:top w:val="nil"/>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 xml:space="preserve">The Board accepts this recommendation. </w:t>
            </w:r>
          </w:p>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 xml:space="preserve">The Board notes that the </w:t>
            </w:r>
            <w:r w:rsidRPr="00B9369E">
              <w:rPr>
                <w:rFonts w:ascii="Arial" w:hAnsi="Arial" w:cs="Arial"/>
                <w:i/>
                <w:sz w:val="20"/>
                <w:szCs w:val="18"/>
              </w:rPr>
              <w:t>Good practice guidelines</w:t>
            </w:r>
            <w:r w:rsidRPr="00B9369E">
              <w:rPr>
                <w:rFonts w:ascii="Arial" w:hAnsi="Arial" w:cs="Arial"/>
                <w:sz w:val="20"/>
                <w:szCs w:val="18"/>
              </w:rPr>
              <w:t xml:space="preserve"> currently require colleges to publish a schedule of fees that includes the cost of each element of the assessment process. </w:t>
            </w:r>
          </w:p>
          <w:p w:rsidR="00031BA2" w:rsidRPr="00B9369E" w:rsidRDefault="00031BA2" w:rsidP="00031BA2">
            <w:pPr>
              <w:spacing w:before="200" w:after="200"/>
              <w:rPr>
                <w:rFonts w:ascii="Arial" w:hAnsi="Arial" w:cs="Arial"/>
                <w:sz w:val="20"/>
                <w:szCs w:val="18"/>
              </w:rPr>
            </w:pPr>
            <w:r w:rsidRPr="00B9369E">
              <w:rPr>
                <w:rFonts w:ascii="Arial" w:hAnsi="Arial" w:cs="Arial"/>
                <w:sz w:val="20"/>
                <w:szCs w:val="18"/>
              </w:rPr>
              <w:t xml:space="preserve">The Board expects colleges to comply with this requirement. </w:t>
            </w:r>
          </w:p>
          <w:p w:rsidR="004B727B" w:rsidRDefault="00031BA2" w:rsidP="004B727B">
            <w:pPr>
              <w:spacing w:before="200" w:after="200"/>
              <w:rPr>
                <w:rFonts w:ascii="Arial" w:hAnsi="Arial" w:cs="Arial"/>
                <w:color w:val="FF0000"/>
                <w:sz w:val="20"/>
                <w:szCs w:val="18"/>
              </w:rPr>
            </w:pPr>
            <w:r w:rsidRPr="00B9369E">
              <w:rPr>
                <w:rFonts w:ascii="Arial" w:hAnsi="Arial" w:cs="Arial"/>
                <w:sz w:val="20"/>
                <w:szCs w:val="18"/>
              </w:rPr>
              <w:t xml:space="preserve">The Board will request that colleges review their fee schedule and ensure that all fees for all elements of the assessment process are published together on their website, in one easily accessible location (fees can be repeated in other locations). This should be completed no later than </w:t>
            </w:r>
            <w:r w:rsidR="00660A3A">
              <w:rPr>
                <w:rFonts w:ascii="Arial" w:hAnsi="Arial" w:cs="Arial"/>
                <w:sz w:val="20"/>
                <w:szCs w:val="18"/>
              </w:rPr>
              <w:t>4 May</w:t>
            </w:r>
            <w:r w:rsidRPr="004B727B">
              <w:rPr>
                <w:rFonts w:ascii="Arial" w:hAnsi="Arial" w:cs="Arial"/>
                <w:sz w:val="20"/>
                <w:szCs w:val="18"/>
              </w:rPr>
              <w:t xml:space="preserve"> 2018.</w:t>
            </w:r>
            <w:r w:rsidRPr="00B9369E">
              <w:rPr>
                <w:rFonts w:ascii="Arial" w:hAnsi="Arial" w:cs="Arial"/>
                <w:sz w:val="20"/>
                <w:szCs w:val="18"/>
              </w:rPr>
              <w:t xml:space="preserve"> </w:t>
            </w:r>
          </w:p>
          <w:p w:rsidR="00031BA2" w:rsidRPr="00B9369E" w:rsidRDefault="00031BA2" w:rsidP="004B727B">
            <w:pPr>
              <w:spacing w:before="200" w:after="200"/>
              <w:rPr>
                <w:rFonts w:ascii="Arial" w:hAnsi="Arial" w:cs="Arial"/>
                <w:sz w:val="20"/>
                <w:szCs w:val="18"/>
              </w:rPr>
            </w:pPr>
            <w:r w:rsidRPr="00B9369E">
              <w:rPr>
                <w:rFonts w:ascii="Arial" w:hAnsi="Arial" w:cs="Arial"/>
                <w:sz w:val="20"/>
                <w:szCs w:val="18"/>
              </w:rPr>
              <w:t xml:space="preserve">The Board will also refer this recommendation to the working group to review the wording of the </w:t>
            </w:r>
            <w:r w:rsidRPr="00B9369E">
              <w:rPr>
                <w:rFonts w:ascii="Arial" w:hAnsi="Arial" w:cs="Arial"/>
                <w:i/>
                <w:sz w:val="20"/>
                <w:szCs w:val="18"/>
              </w:rPr>
              <w:t>Good practice guidelines</w:t>
            </w:r>
            <w:r w:rsidRPr="00B9369E">
              <w:rPr>
                <w:rFonts w:ascii="Arial" w:hAnsi="Arial" w:cs="Arial"/>
                <w:sz w:val="20"/>
                <w:szCs w:val="18"/>
              </w:rPr>
              <w:t xml:space="preserve"> to ensure that the requirements for publishing fees are clearer. </w:t>
            </w:r>
          </w:p>
        </w:tc>
      </w:tr>
      <w:tr w:rsidR="00031BA2" w:rsidRPr="00B9369E" w:rsidTr="00031BA2">
        <w:tc>
          <w:tcPr>
            <w:tcW w:w="426" w:type="dxa"/>
            <w:tcBorders>
              <w:left w:val="nil"/>
              <w:bottom w:val="single" w:sz="4" w:space="0" w:color="00B4E3" w:themeColor="accent1"/>
              <w:right w:val="nil"/>
            </w:tcBorders>
            <w:tcMar>
              <w:top w:w="113" w:type="dxa"/>
              <w:left w:w="113" w:type="dxa"/>
              <w:bottom w:w="113" w:type="dxa"/>
              <w:right w:w="0" w:type="dxa"/>
            </w:tcMar>
          </w:tcPr>
          <w:p w:rsidR="00031BA2" w:rsidRPr="00B9369E" w:rsidRDefault="00031BA2" w:rsidP="00031BA2">
            <w:pPr>
              <w:rPr>
                <w:rFonts w:ascii="Arial" w:hAnsi="Arial" w:cs="Arial"/>
                <w:sz w:val="2"/>
                <w:szCs w:val="20"/>
              </w:rPr>
            </w:pPr>
          </w:p>
        </w:tc>
        <w:tc>
          <w:tcPr>
            <w:tcW w:w="4678" w:type="dxa"/>
            <w:tcBorders>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autoSpaceDE w:val="0"/>
              <w:autoSpaceDN w:val="0"/>
              <w:adjustRightInd w:val="0"/>
              <w:rPr>
                <w:rFonts w:ascii="Arial" w:hAnsi="Arial" w:cs="Arial"/>
                <w:sz w:val="2"/>
                <w:szCs w:val="20"/>
              </w:rPr>
            </w:pPr>
          </w:p>
        </w:tc>
        <w:tc>
          <w:tcPr>
            <w:tcW w:w="4961" w:type="dxa"/>
            <w:tcBorders>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rPr>
                <w:rFonts w:ascii="Arial" w:hAnsi="Arial" w:cs="Arial"/>
                <w:sz w:val="2"/>
                <w:szCs w:val="20"/>
              </w:rPr>
            </w:pPr>
          </w:p>
        </w:tc>
      </w:tr>
      <w:tr w:rsidR="00031BA2" w:rsidRPr="00B9369E" w:rsidTr="00031BA2">
        <w:tc>
          <w:tcPr>
            <w:tcW w:w="426" w:type="dxa"/>
            <w:tcBorders>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7</w:t>
            </w:r>
          </w:p>
        </w:tc>
        <w:tc>
          <w:tcPr>
            <w:tcW w:w="4678" w:type="dxa"/>
            <w:tcBorders>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The </w:t>
            </w:r>
            <w:r w:rsidRPr="00B9369E">
              <w:rPr>
                <w:rFonts w:ascii="Arial" w:hAnsi="Arial" w:cs="Arial"/>
                <w:i/>
                <w:iCs/>
                <w:sz w:val="20"/>
                <w:szCs w:val="20"/>
              </w:rPr>
              <w:t xml:space="preserve">Good Practice Guidelines </w:t>
            </w:r>
            <w:r w:rsidRPr="00B9369E">
              <w:rPr>
                <w:rFonts w:ascii="Arial" w:hAnsi="Arial" w:cs="Arial"/>
                <w:sz w:val="20"/>
                <w:szCs w:val="20"/>
              </w:rPr>
              <w:t>could be revised to require that colleges ensure the documentary evidence required from SIMGs is reasonable, not excessive and relevant to a given SIMG’s application.</w:t>
            </w:r>
          </w:p>
        </w:tc>
        <w:tc>
          <w:tcPr>
            <w:tcW w:w="4961" w:type="dxa"/>
            <w:tcBorders>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accepts this recommendation and will refer it to the working group for consideration of how to implement as part of the review of the </w:t>
            </w:r>
            <w:r w:rsidRPr="00B9369E">
              <w:rPr>
                <w:rFonts w:ascii="Arial" w:hAnsi="Arial" w:cs="Arial"/>
                <w:i/>
                <w:sz w:val="20"/>
                <w:szCs w:val="20"/>
              </w:rPr>
              <w:t xml:space="preserve">Good practice guidelines. </w:t>
            </w:r>
            <w:r w:rsidRPr="00B9369E">
              <w:rPr>
                <w:rFonts w:ascii="Arial" w:hAnsi="Arial" w:cs="Arial"/>
                <w:sz w:val="20"/>
                <w:szCs w:val="20"/>
              </w:rPr>
              <w:t xml:space="preserve"> </w:t>
            </w:r>
          </w:p>
        </w:tc>
      </w:tr>
      <w:tr w:rsidR="00031BA2" w:rsidRPr="00B9369E" w:rsidTr="00031BA2">
        <w:tc>
          <w:tcPr>
            <w:tcW w:w="426" w:type="dxa"/>
            <w:tcBorders>
              <w:left w:val="nil"/>
              <w:right w:val="nil"/>
            </w:tcBorders>
            <w:tcMar>
              <w:top w:w="113" w:type="dxa"/>
              <w:left w:w="113" w:type="dxa"/>
              <w:bottom w:w="113" w:type="dxa"/>
              <w:right w:w="0" w:type="dxa"/>
            </w:tcMar>
          </w:tcPr>
          <w:p w:rsidR="00031BA2" w:rsidRPr="00B9369E" w:rsidRDefault="00031BA2" w:rsidP="00031BA2">
            <w:pPr>
              <w:rPr>
                <w:rFonts w:ascii="Arial" w:hAnsi="Arial" w:cs="Arial"/>
                <w:sz w:val="2"/>
                <w:szCs w:val="20"/>
              </w:rPr>
            </w:pPr>
          </w:p>
        </w:tc>
        <w:tc>
          <w:tcPr>
            <w:tcW w:w="4678" w:type="dxa"/>
            <w:tcBorders>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autoSpaceDE w:val="0"/>
              <w:autoSpaceDN w:val="0"/>
              <w:adjustRightInd w:val="0"/>
              <w:rPr>
                <w:rFonts w:ascii="Arial" w:hAnsi="Arial" w:cs="Arial"/>
                <w:sz w:val="2"/>
                <w:szCs w:val="20"/>
              </w:rPr>
            </w:pPr>
          </w:p>
        </w:tc>
        <w:tc>
          <w:tcPr>
            <w:tcW w:w="4961" w:type="dxa"/>
            <w:tcBorders>
              <w:left w:val="nil"/>
              <w:right w:val="nil"/>
            </w:tcBorders>
            <w:shd w:val="clear" w:color="auto" w:fill="auto"/>
            <w:tcMar>
              <w:top w:w="113" w:type="dxa"/>
              <w:bottom w:w="113" w:type="dxa"/>
            </w:tcMar>
          </w:tcPr>
          <w:p w:rsidR="00031BA2" w:rsidRPr="00B9369E" w:rsidRDefault="00031BA2" w:rsidP="00031BA2">
            <w:pPr>
              <w:rPr>
                <w:rFonts w:ascii="Arial" w:hAnsi="Arial" w:cs="Arial"/>
                <w:sz w:val="2"/>
                <w:szCs w:val="20"/>
              </w:rPr>
            </w:pPr>
          </w:p>
        </w:tc>
      </w:tr>
      <w:tr w:rsidR="00031BA2" w:rsidRPr="00B9369E" w:rsidTr="00031BA2">
        <w:tc>
          <w:tcPr>
            <w:tcW w:w="426" w:type="dxa"/>
            <w:tcBorders>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br w:type="page"/>
              <w:t>8</w:t>
            </w:r>
          </w:p>
        </w:tc>
        <w:tc>
          <w:tcPr>
            <w:tcW w:w="4678" w:type="dxa"/>
            <w:tcBorders>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The </w:t>
            </w:r>
            <w:r w:rsidRPr="00B9369E">
              <w:rPr>
                <w:rFonts w:ascii="Arial" w:hAnsi="Arial" w:cs="Arial"/>
                <w:i/>
                <w:iCs/>
                <w:sz w:val="20"/>
                <w:szCs w:val="20"/>
              </w:rPr>
              <w:t xml:space="preserve">Good Practice Guidelines </w:t>
            </w:r>
            <w:r w:rsidRPr="00B9369E">
              <w:rPr>
                <w:rFonts w:ascii="Arial" w:hAnsi="Arial" w:cs="Arial"/>
                <w:sz w:val="20"/>
                <w:szCs w:val="20"/>
              </w:rPr>
              <w:t xml:space="preserve">could be revised to require that colleges provide SIMGs with an option to complete an interview via teleconference or videoconference. This can help avoid the cost and time associated with attending interviews in person. </w:t>
            </w:r>
          </w:p>
        </w:tc>
        <w:tc>
          <w:tcPr>
            <w:tcW w:w="4961" w:type="dxa"/>
            <w:tcBorders>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accepts this recommendation in principle and will refer it to the working group for it to review and define the purpose of the interview. The definition of the purpose of the interview will help to inform discussions and decisions about the most appropriate way to run the interviews.   </w:t>
            </w:r>
          </w:p>
        </w:tc>
      </w:tr>
    </w:tbl>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426"/>
        <w:gridCol w:w="4678"/>
        <w:gridCol w:w="4961"/>
      </w:tblGrid>
      <w:tr w:rsidR="00031BA2" w:rsidRPr="00B9369E" w:rsidTr="00031BA2">
        <w:trPr>
          <w:tblHeader/>
        </w:trPr>
        <w:tc>
          <w:tcPr>
            <w:tcW w:w="5104" w:type="dxa"/>
            <w:gridSpan w:val="2"/>
            <w:tcBorders>
              <w:top w:val="nil"/>
              <w:left w:val="nil"/>
              <w:bottom w:val="nil"/>
              <w:right w:val="nil"/>
            </w:tcBorders>
            <w:shd w:val="clear" w:color="auto" w:fill="00B4E3" w:themeFill="accent1"/>
            <w:tcMar>
              <w:top w:w="113" w:type="dxa"/>
              <w:bottom w:w="113" w:type="dxa"/>
            </w:tcMar>
          </w:tcPr>
          <w:p w:rsidR="00031BA2" w:rsidRPr="00B9369E" w:rsidRDefault="00EA29F0" w:rsidP="00C57943">
            <w:pPr>
              <w:spacing w:before="60" w:after="60"/>
              <w:ind w:left="602"/>
              <w:rPr>
                <w:rFonts w:ascii="Arial" w:hAnsi="Arial" w:cs="Arial"/>
                <w:color w:val="FFFFFF" w:themeColor="background1"/>
                <w:szCs w:val="18"/>
              </w:rPr>
            </w:pPr>
            <w:r w:rsidRPr="00B9369E">
              <w:rPr>
                <w:rFonts w:ascii="Arial" w:hAnsi="Arial" w:cs="Arial"/>
                <w:color w:val="FFFFFF" w:themeColor="background1"/>
                <w:szCs w:val="18"/>
              </w:rPr>
              <w:lastRenderedPageBreak/>
              <w:t xml:space="preserve">Deloitte </w:t>
            </w:r>
            <w:r>
              <w:rPr>
                <w:rFonts w:ascii="Arial" w:hAnsi="Arial" w:cs="Arial"/>
                <w:color w:val="FFFFFF" w:themeColor="background1"/>
                <w:szCs w:val="18"/>
              </w:rPr>
              <w:t>Access Economics</w:t>
            </w:r>
            <w:r w:rsidR="00031BA2" w:rsidRPr="00B9369E">
              <w:rPr>
                <w:rFonts w:ascii="Arial" w:hAnsi="Arial" w:cs="Arial"/>
                <w:color w:val="FFFFFF" w:themeColor="background1"/>
                <w:szCs w:val="18"/>
              </w:rPr>
              <w:t xml:space="preserve"> recommendation</w:t>
            </w:r>
          </w:p>
        </w:tc>
        <w:tc>
          <w:tcPr>
            <w:tcW w:w="4961" w:type="dxa"/>
            <w:tcBorders>
              <w:top w:val="nil"/>
              <w:left w:val="nil"/>
              <w:bottom w:val="nil"/>
              <w:right w:val="nil"/>
            </w:tcBorders>
            <w:shd w:val="clear" w:color="auto" w:fill="00B4E3" w:themeFill="accent1"/>
            <w:tcMar>
              <w:top w:w="113" w:type="dxa"/>
              <w:bottom w:w="113" w:type="dxa"/>
            </w:tcMar>
          </w:tcPr>
          <w:p w:rsidR="00031BA2" w:rsidRPr="00B9369E" w:rsidRDefault="00031BA2"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c>
          <w:tcPr>
            <w:tcW w:w="426" w:type="dxa"/>
            <w:tcBorders>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br w:type="page"/>
              <w:t>10</w:t>
            </w:r>
          </w:p>
        </w:tc>
        <w:tc>
          <w:tcPr>
            <w:tcW w:w="4678" w:type="dxa"/>
            <w:tcBorders>
              <w:left w:val="nil"/>
              <w:bottom w:val="single" w:sz="4" w:space="0" w:color="00B4E3" w:themeColor="accent1"/>
              <w:right w:val="nil"/>
            </w:tcBorders>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The </w:t>
            </w:r>
            <w:r w:rsidRPr="00B9369E">
              <w:rPr>
                <w:rFonts w:ascii="Arial" w:hAnsi="Arial" w:cs="Arial"/>
                <w:i/>
                <w:iCs/>
                <w:sz w:val="20"/>
                <w:szCs w:val="20"/>
              </w:rPr>
              <w:t xml:space="preserve">Good Practice Guidelines </w:t>
            </w:r>
            <w:r w:rsidRPr="00B9369E">
              <w:rPr>
                <w:rFonts w:ascii="Arial" w:hAnsi="Arial" w:cs="Arial"/>
                <w:sz w:val="20"/>
                <w:szCs w:val="20"/>
              </w:rPr>
              <w:t xml:space="preserve">could be amended to require that colleges provide SIMGs with a summary of findings from the paper-based assessment and interview for review and confirmation. Applicants could be given the opportunity to provide clarification or submit further evidence where they believe a college has made findings which are incomplete or inaccurate. </w:t>
            </w:r>
          </w:p>
        </w:tc>
        <w:tc>
          <w:tcPr>
            <w:tcW w:w="4961" w:type="dxa"/>
            <w:tcBorders>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color w:val="000000"/>
                <w:sz w:val="20"/>
                <w:szCs w:val="20"/>
              </w:rPr>
            </w:pPr>
            <w:r w:rsidRPr="00B9369E">
              <w:rPr>
                <w:rFonts w:ascii="Arial" w:hAnsi="Arial" w:cs="Arial"/>
                <w:sz w:val="20"/>
                <w:szCs w:val="20"/>
              </w:rPr>
              <w:t xml:space="preserve">The Board accepts that this would make the assessment process more transparent. It will refer this recommendation to the working group for consideration as part of the review of the </w:t>
            </w:r>
            <w:r w:rsidRPr="00B9369E">
              <w:rPr>
                <w:rFonts w:ascii="Arial" w:hAnsi="Arial" w:cs="Arial"/>
                <w:i/>
                <w:sz w:val="20"/>
                <w:szCs w:val="20"/>
              </w:rPr>
              <w:t xml:space="preserve">Good practice guidelines. </w:t>
            </w:r>
            <w:r w:rsidRPr="00B9369E">
              <w:rPr>
                <w:rFonts w:ascii="Arial" w:hAnsi="Arial" w:cs="Arial"/>
                <w:sz w:val="20"/>
                <w:szCs w:val="20"/>
              </w:rPr>
              <w:t xml:space="preserve">The review will include consultation with stakeholders. </w:t>
            </w:r>
          </w:p>
        </w:tc>
      </w:tr>
      <w:tr w:rsidR="00031BA2" w:rsidRPr="00B9369E" w:rsidTr="00031BA2">
        <w:tc>
          <w:tcPr>
            <w:tcW w:w="426" w:type="dxa"/>
            <w:tcBorders>
              <w:left w:val="nil"/>
              <w:right w:val="nil"/>
            </w:tcBorders>
            <w:tcMar>
              <w:top w:w="113" w:type="dxa"/>
              <w:left w:w="113" w:type="dxa"/>
              <w:bottom w:w="113" w:type="dxa"/>
              <w:right w:w="0" w:type="dxa"/>
            </w:tcMar>
          </w:tcPr>
          <w:p w:rsidR="00031BA2" w:rsidRPr="00B9369E" w:rsidRDefault="00031BA2" w:rsidP="00031BA2">
            <w:pPr>
              <w:rPr>
                <w:rFonts w:ascii="Arial" w:hAnsi="Arial" w:cs="Arial"/>
                <w:sz w:val="2"/>
                <w:szCs w:val="20"/>
              </w:rPr>
            </w:pPr>
          </w:p>
        </w:tc>
        <w:tc>
          <w:tcPr>
            <w:tcW w:w="4678" w:type="dxa"/>
            <w:tcBorders>
              <w:left w:val="nil"/>
              <w:right w:val="nil"/>
            </w:tcBorders>
            <w:tcMar>
              <w:top w:w="113" w:type="dxa"/>
              <w:bottom w:w="113" w:type="dxa"/>
            </w:tcMar>
          </w:tcPr>
          <w:p w:rsidR="00031BA2" w:rsidRPr="00B9369E" w:rsidRDefault="00031BA2" w:rsidP="00031BA2">
            <w:pPr>
              <w:autoSpaceDE w:val="0"/>
              <w:autoSpaceDN w:val="0"/>
              <w:adjustRightInd w:val="0"/>
              <w:rPr>
                <w:rFonts w:ascii="Arial" w:hAnsi="Arial" w:cs="Arial"/>
                <w:sz w:val="2"/>
                <w:szCs w:val="20"/>
              </w:rPr>
            </w:pPr>
          </w:p>
        </w:tc>
        <w:tc>
          <w:tcPr>
            <w:tcW w:w="4961" w:type="dxa"/>
            <w:tcBorders>
              <w:left w:val="nil"/>
              <w:right w:val="nil"/>
            </w:tcBorders>
            <w:shd w:val="clear" w:color="auto" w:fill="auto"/>
            <w:tcMar>
              <w:top w:w="113" w:type="dxa"/>
              <w:bottom w:w="113" w:type="dxa"/>
            </w:tcMar>
          </w:tcPr>
          <w:p w:rsidR="00031BA2" w:rsidRPr="00B9369E" w:rsidRDefault="00031BA2" w:rsidP="00031BA2">
            <w:pPr>
              <w:rPr>
                <w:rFonts w:ascii="Arial" w:hAnsi="Arial" w:cs="Arial"/>
                <w:sz w:val="2"/>
                <w:szCs w:val="20"/>
              </w:rPr>
            </w:pPr>
          </w:p>
        </w:tc>
      </w:tr>
      <w:tr w:rsidR="00031BA2" w:rsidRPr="00B9369E" w:rsidTr="00031BA2">
        <w:tc>
          <w:tcPr>
            <w:tcW w:w="426" w:type="dxa"/>
            <w:tcBorders>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5</w:t>
            </w:r>
          </w:p>
        </w:tc>
        <w:tc>
          <w:tcPr>
            <w:tcW w:w="4678" w:type="dxa"/>
            <w:tcBorders>
              <w:left w:val="nil"/>
              <w:bottom w:val="single" w:sz="4" w:space="0" w:color="00B4E3" w:themeColor="accent1"/>
              <w:right w:val="nil"/>
            </w:tcBorders>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Colleges could consider implementing online self-assessment quizzes or checklists, allowing SIMGs to determine their eligibility for assessment, and/or their likely comparability outcome. </w:t>
            </w:r>
          </w:p>
        </w:tc>
        <w:tc>
          <w:tcPr>
            <w:tcW w:w="4961" w:type="dxa"/>
            <w:tcBorders>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accepts that this is a good idea and will encourage specialist colleges to develop online self-assessment quizzes. It will refer the issue to the working group to consider whether to include it in the review of the </w:t>
            </w:r>
            <w:r w:rsidRPr="00B9369E">
              <w:rPr>
                <w:rFonts w:ascii="Arial" w:hAnsi="Arial" w:cs="Arial"/>
                <w:i/>
                <w:sz w:val="20"/>
                <w:szCs w:val="20"/>
              </w:rPr>
              <w:t xml:space="preserve">Good practice guidelines. </w:t>
            </w:r>
            <w:r w:rsidRPr="00B9369E">
              <w:rPr>
                <w:rFonts w:ascii="Arial" w:hAnsi="Arial" w:cs="Arial"/>
                <w:sz w:val="20"/>
                <w:szCs w:val="20"/>
              </w:rPr>
              <w:t xml:space="preserve"> </w:t>
            </w:r>
          </w:p>
        </w:tc>
      </w:tr>
      <w:tr w:rsidR="00031BA2" w:rsidRPr="00B9369E" w:rsidTr="00031BA2">
        <w:tc>
          <w:tcPr>
            <w:tcW w:w="426" w:type="dxa"/>
            <w:tcBorders>
              <w:left w:val="nil"/>
              <w:right w:val="nil"/>
            </w:tcBorders>
            <w:tcMar>
              <w:top w:w="113" w:type="dxa"/>
              <w:left w:w="113" w:type="dxa"/>
              <w:bottom w:w="113" w:type="dxa"/>
              <w:right w:w="0" w:type="dxa"/>
            </w:tcMar>
          </w:tcPr>
          <w:p w:rsidR="00031BA2" w:rsidRPr="00B9369E" w:rsidRDefault="00031BA2" w:rsidP="00031BA2">
            <w:pPr>
              <w:rPr>
                <w:rFonts w:ascii="Arial" w:hAnsi="Arial" w:cs="Arial"/>
                <w:sz w:val="2"/>
                <w:szCs w:val="20"/>
              </w:rPr>
            </w:pPr>
          </w:p>
        </w:tc>
        <w:tc>
          <w:tcPr>
            <w:tcW w:w="4678" w:type="dxa"/>
            <w:tcBorders>
              <w:left w:val="nil"/>
              <w:right w:val="nil"/>
            </w:tcBorders>
            <w:tcMar>
              <w:top w:w="113" w:type="dxa"/>
              <w:bottom w:w="113" w:type="dxa"/>
            </w:tcMar>
          </w:tcPr>
          <w:p w:rsidR="00031BA2" w:rsidRPr="00B9369E" w:rsidRDefault="00031BA2" w:rsidP="00031BA2">
            <w:pPr>
              <w:autoSpaceDE w:val="0"/>
              <w:autoSpaceDN w:val="0"/>
              <w:adjustRightInd w:val="0"/>
              <w:rPr>
                <w:rFonts w:ascii="Arial" w:hAnsi="Arial" w:cs="Arial"/>
                <w:sz w:val="2"/>
                <w:szCs w:val="20"/>
              </w:rPr>
            </w:pPr>
          </w:p>
        </w:tc>
        <w:tc>
          <w:tcPr>
            <w:tcW w:w="4961" w:type="dxa"/>
            <w:tcBorders>
              <w:left w:val="nil"/>
              <w:right w:val="nil"/>
            </w:tcBorders>
            <w:shd w:val="clear" w:color="auto" w:fill="auto"/>
            <w:tcMar>
              <w:top w:w="113" w:type="dxa"/>
              <w:bottom w:w="113" w:type="dxa"/>
            </w:tcMar>
          </w:tcPr>
          <w:p w:rsidR="00031BA2" w:rsidRPr="00B9369E" w:rsidRDefault="00031BA2" w:rsidP="00031BA2">
            <w:pPr>
              <w:rPr>
                <w:rFonts w:ascii="Arial" w:hAnsi="Arial" w:cs="Arial"/>
                <w:sz w:val="2"/>
                <w:szCs w:val="20"/>
              </w:rPr>
            </w:pPr>
          </w:p>
        </w:tc>
      </w:tr>
      <w:tr w:rsidR="00031BA2" w:rsidRPr="00B9369E" w:rsidTr="00031BA2">
        <w:tc>
          <w:tcPr>
            <w:tcW w:w="426" w:type="dxa"/>
            <w:tcBorders>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9</w:t>
            </w:r>
          </w:p>
        </w:tc>
        <w:tc>
          <w:tcPr>
            <w:tcW w:w="4678" w:type="dxa"/>
            <w:tcBorders>
              <w:left w:val="nil"/>
              <w:bottom w:val="single" w:sz="4" w:space="0" w:color="00B4E3" w:themeColor="accent1"/>
              <w:right w:val="nil"/>
            </w:tcBorders>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Colleges could consider implementing an objective scoring system for paper-based assessments and interviews.</w:t>
            </w:r>
          </w:p>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Under such a system, assessors give applicants numerical scores against key competency areas, and document the reasons for the rating and any gaps or deficiencies. Colleges could further consider using the total score to determine the assessment outcome. The scoring system could be published or made available to applicants in advance, to increase transparency and confidence in college assessment decisions. </w:t>
            </w:r>
          </w:p>
        </w:tc>
        <w:tc>
          <w:tcPr>
            <w:tcW w:w="4961" w:type="dxa"/>
            <w:tcBorders>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accepts that implementing an objective scoring system for paper-based assessments and interviews would improve transparency. It will refer this recommendation to the working group for consideration as part of the review of the </w:t>
            </w:r>
            <w:r w:rsidRPr="00B9369E">
              <w:rPr>
                <w:rFonts w:ascii="Arial" w:hAnsi="Arial" w:cs="Arial"/>
                <w:i/>
                <w:sz w:val="20"/>
                <w:szCs w:val="20"/>
              </w:rPr>
              <w:t xml:space="preserve">Good practice guidelines. </w:t>
            </w:r>
            <w:r w:rsidRPr="00B9369E">
              <w:rPr>
                <w:rFonts w:ascii="Arial" w:hAnsi="Arial" w:cs="Arial"/>
                <w:sz w:val="20"/>
                <w:szCs w:val="20"/>
              </w:rPr>
              <w:t xml:space="preserve"> </w:t>
            </w:r>
          </w:p>
        </w:tc>
      </w:tr>
    </w:tbl>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B9369E" w:rsidRDefault="00B9369E">
      <w:pPr>
        <w:rPr>
          <w:rFonts w:ascii="Arial" w:hAnsi="Arial" w:cs="Arial"/>
        </w:rPr>
      </w:pPr>
      <w:r>
        <w:rPr>
          <w:rFonts w:ascii="Arial" w:hAnsi="Arial" w:cs="Arial"/>
        </w:rPr>
        <w:br w:type="page"/>
      </w: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426"/>
        <w:gridCol w:w="4678"/>
        <w:gridCol w:w="4961"/>
      </w:tblGrid>
      <w:tr w:rsidR="00031BA2" w:rsidRPr="00B9369E" w:rsidTr="00031BA2">
        <w:trPr>
          <w:tblHeader/>
        </w:trPr>
        <w:tc>
          <w:tcPr>
            <w:tcW w:w="5104" w:type="dxa"/>
            <w:gridSpan w:val="2"/>
            <w:tcBorders>
              <w:top w:val="nil"/>
              <w:left w:val="nil"/>
              <w:bottom w:val="nil"/>
              <w:right w:val="nil"/>
            </w:tcBorders>
            <w:shd w:val="clear" w:color="auto" w:fill="00B4E3" w:themeFill="accent1"/>
            <w:tcMar>
              <w:top w:w="113" w:type="dxa"/>
              <w:bottom w:w="113" w:type="dxa"/>
            </w:tcMar>
          </w:tcPr>
          <w:p w:rsidR="00031BA2" w:rsidRPr="00B9369E" w:rsidRDefault="00EA29F0" w:rsidP="00C57943">
            <w:pPr>
              <w:spacing w:before="60" w:after="60"/>
              <w:ind w:left="602"/>
              <w:rPr>
                <w:rFonts w:ascii="Arial" w:hAnsi="Arial" w:cs="Arial"/>
                <w:color w:val="FFFFFF" w:themeColor="background1"/>
                <w:szCs w:val="18"/>
              </w:rPr>
            </w:pPr>
            <w:r w:rsidRPr="00B9369E">
              <w:rPr>
                <w:rFonts w:ascii="Arial" w:hAnsi="Arial" w:cs="Arial"/>
                <w:color w:val="FFFFFF" w:themeColor="background1"/>
                <w:szCs w:val="18"/>
              </w:rPr>
              <w:lastRenderedPageBreak/>
              <w:t xml:space="preserve">Deloitte </w:t>
            </w:r>
            <w:r>
              <w:rPr>
                <w:rFonts w:ascii="Arial" w:hAnsi="Arial" w:cs="Arial"/>
                <w:color w:val="FFFFFF" w:themeColor="background1"/>
                <w:szCs w:val="18"/>
              </w:rPr>
              <w:t>Access Economics</w:t>
            </w:r>
            <w:r w:rsidR="00031BA2" w:rsidRPr="00B9369E">
              <w:rPr>
                <w:rFonts w:ascii="Arial" w:hAnsi="Arial" w:cs="Arial"/>
                <w:color w:val="FFFFFF" w:themeColor="background1"/>
                <w:szCs w:val="18"/>
              </w:rPr>
              <w:t xml:space="preserve"> recommendation</w:t>
            </w:r>
          </w:p>
        </w:tc>
        <w:tc>
          <w:tcPr>
            <w:tcW w:w="4961" w:type="dxa"/>
            <w:tcBorders>
              <w:top w:val="nil"/>
              <w:left w:val="nil"/>
              <w:bottom w:val="nil"/>
              <w:right w:val="nil"/>
            </w:tcBorders>
            <w:shd w:val="clear" w:color="auto" w:fill="00B4E3" w:themeFill="accent1"/>
            <w:tcMar>
              <w:top w:w="113" w:type="dxa"/>
              <w:bottom w:w="113" w:type="dxa"/>
            </w:tcMar>
          </w:tcPr>
          <w:p w:rsidR="00031BA2" w:rsidRPr="00B9369E" w:rsidRDefault="00031BA2"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c>
          <w:tcPr>
            <w:tcW w:w="426" w:type="dxa"/>
            <w:tcBorders>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6</w:t>
            </w:r>
          </w:p>
        </w:tc>
        <w:tc>
          <w:tcPr>
            <w:tcW w:w="4678" w:type="dxa"/>
            <w:tcBorders>
              <w:left w:val="nil"/>
              <w:bottom w:val="single" w:sz="4" w:space="0" w:color="00B4E3" w:themeColor="accent1"/>
              <w:right w:val="nil"/>
            </w:tcBorders>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To ensure SIMGs have the appropriate information and expectations when they apply for assessment, colleges could consider publishing key statistics about the SIMG process. These could include the number of applications received in the last year, and the distribution of assessment outcomes. Colleges could also publish statistics about the size and location of the workforce in their field of specialty. </w:t>
            </w:r>
          </w:p>
        </w:tc>
        <w:tc>
          <w:tcPr>
            <w:tcW w:w="4961" w:type="dxa"/>
            <w:tcBorders>
              <w:left w:val="nil"/>
              <w:bottom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agrees that the publication of key statistics can help to manage the expectations of applicants.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The Board notes that these data are currently available in the Board’s ‘</w:t>
            </w:r>
            <w:hyperlink r:id="rId8" w:history="1">
              <w:r w:rsidRPr="00B9369E">
                <w:rPr>
                  <w:rStyle w:val="Hyperlink"/>
                  <w:rFonts w:ascii="Arial" w:hAnsi="Arial" w:cs="Arial"/>
                  <w:sz w:val="20"/>
                  <w:szCs w:val="20"/>
                </w:rPr>
                <w:t>Report on specialist medical colleges’ specialist pathway data</w:t>
              </w:r>
            </w:hyperlink>
            <w:r w:rsidRPr="00B9369E">
              <w:rPr>
                <w:rFonts w:ascii="Arial" w:hAnsi="Arial" w:cs="Arial"/>
                <w:sz w:val="20"/>
                <w:szCs w:val="20"/>
              </w:rPr>
              <w:t xml:space="preserve">’ and the Department of Health’s </w:t>
            </w:r>
            <w:hyperlink r:id="rId9" w:anchor="part-2" w:history="1">
              <w:r w:rsidRPr="00B9369E">
                <w:rPr>
                  <w:rStyle w:val="Hyperlink"/>
                  <w:rFonts w:ascii="Arial" w:hAnsi="Arial" w:cs="Arial"/>
                  <w:sz w:val="20"/>
                  <w:szCs w:val="20"/>
                </w:rPr>
                <w:t>medical workforce fact sheets</w:t>
              </w:r>
            </w:hyperlink>
            <w:r w:rsidRPr="00B9369E">
              <w:rPr>
                <w:rFonts w:ascii="Arial" w:hAnsi="Arial" w:cs="Arial"/>
                <w:sz w:val="20"/>
                <w:szCs w:val="20"/>
              </w:rPr>
              <w:t xml:space="preserve">.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will ask colleges to respond to this recommendation.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At a minimum, colleges should publish key statistics for their specialty on their website and/or add a link to the Board data and the Commonwealth workforce factsheets. </w:t>
            </w:r>
          </w:p>
          <w:p w:rsidR="004955A9" w:rsidRDefault="00031BA2" w:rsidP="004955A9">
            <w:pPr>
              <w:spacing w:before="200" w:after="200"/>
              <w:rPr>
                <w:rFonts w:ascii="Arial" w:hAnsi="Arial" w:cs="Arial"/>
                <w:sz w:val="20"/>
                <w:szCs w:val="20"/>
              </w:rPr>
            </w:pPr>
            <w:r w:rsidRPr="00B9369E">
              <w:rPr>
                <w:rFonts w:ascii="Arial" w:hAnsi="Arial" w:cs="Arial"/>
                <w:sz w:val="20"/>
                <w:szCs w:val="20"/>
              </w:rPr>
              <w:t>This should be completed no later tha</w:t>
            </w:r>
            <w:r w:rsidRPr="004955A9">
              <w:rPr>
                <w:rFonts w:ascii="Arial" w:hAnsi="Arial" w:cs="Arial"/>
                <w:sz w:val="20"/>
                <w:szCs w:val="20"/>
              </w:rPr>
              <w:t xml:space="preserve">n </w:t>
            </w:r>
            <w:r w:rsidR="00660A3A">
              <w:rPr>
                <w:rFonts w:ascii="Arial" w:hAnsi="Arial" w:cs="Arial"/>
                <w:sz w:val="20"/>
                <w:szCs w:val="20"/>
              </w:rPr>
              <w:t xml:space="preserve">4 May </w:t>
            </w:r>
            <w:r w:rsidRPr="004955A9">
              <w:rPr>
                <w:rFonts w:ascii="Arial" w:hAnsi="Arial" w:cs="Arial"/>
                <w:sz w:val="20"/>
                <w:szCs w:val="20"/>
              </w:rPr>
              <w:t>2018.</w:t>
            </w:r>
            <w:r w:rsidRPr="00B9369E">
              <w:rPr>
                <w:rFonts w:ascii="Arial" w:hAnsi="Arial" w:cs="Arial"/>
                <w:sz w:val="20"/>
                <w:szCs w:val="20"/>
              </w:rPr>
              <w:t xml:space="preserve"> </w:t>
            </w:r>
          </w:p>
          <w:p w:rsidR="00031BA2" w:rsidRPr="00B9369E" w:rsidRDefault="00031BA2" w:rsidP="004955A9">
            <w:pPr>
              <w:spacing w:before="200" w:after="200"/>
              <w:rPr>
                <w:rFonts w:ascii="Arial" w:hAnsi="Arial" w:cs="Arial"/>
                <w:sz w:val="20"/>
                <w:szCs w:val="20"/>
              </w:rPr>
            </w:pPr>
            <w:r w:rsidRPr="00B9369E">
              <w:rPr>
                <w:rFonts w:ascii="Arial" w:hAnsi="Arial" w:cs="Arial"/>
                <w:sz w:val="20"/>
                <w:szCs w:val="20"/>
              </w:rPr>
              <w:t xml:space="preserve">The Board will also refer this recommendation to the working group to consider whether this should be incorporated into the </w:t>
            </w:r>
            <w:r w:rsidRPr="00B9369E">
              <w:rPr>
                <w:rFonts w:ascii="Arial" w:hAnsi="Arial" w:cs="Arial"/>
                <w:i/>
                <w:sz w:val="20"/>
                <w:szCs w:val="20"/>
              </w:rPr>
              <w:t>Good practice guidelines</w:t>
            </w:r>
            <w:r w:rsidRPr="00B9369E">
              <w:rPr>
                <w:rFonts w:ascii="Arial" w:hAnsi="Arial" w:cs="Arial"/>
                <w:sz w:val="20"/>
                <w:szCs w:val="20"/>
              </w:rPr>
              <w:t>.</w:t>
            </w:r>
          </w:p>
        </w:tc>
      </w:tr>
      <w:tr w:rsidR="00031BA2" w:rsidRPr="00B9369E" w:rsidTr="0003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00B4E3" w:themeColor="accent1"/>
              <w:left w:val="nil"/>
              <w:bottom w:val="single" w:sz="4" w:space="0" w:color="00B4E3" w:themeColor="accent1"/>
              <w:right w:val="nil"/>
            </w:tcBorders>
            <w:tcMar>
              <w:top w:w="113" w:type="dxa"/>
              <w:left w:w="113" w:type="dxa"/>
              <w:bottom w:w="113" w:type="dxa"/>
              <w:right w:w="0" w:type="dxa"/>
            </w:tcMar>
          </w:tcPr>
          <w:p w:rsidR="00031BA2" w:rsidRPr="00B9369E" w:rsidRDefault="00031BA2" w:rsidP="00031BA2">
            <w:pPr>
              <w:rPr>
                <w:rFonts w:ascii="Arial" w:hAnsi="Arial" w:cs="Arial"/>
                <w:sz w:val="2"/>
                <w:szCs w:val="20"/>
              </w:rPr>
            </w:pPr>
          </w:p>
        </w:tc>
        <w:tc>
          <w:tcPr>
            <w:tcW w:w="4678" w:type="dxa"/>
            <w:tcBorders>
              <w:top w:val="single" w:sz="4" w:space="0" w:color="00B4E3" w:themeColor="accent1"/>
              <w:left w:val="nil"/>
              <w:bottom w:val="single" w:sz="4" w:space="0" w:color="00B4E3" w:themeColor="accent1"/>
              <w:right w:val="nil"/>
            </w:tcBorders>
            <w:tcMar>
              <w:top w:w="113" w:type="dxa"/>
              <w:bottom w:w="113" w:type="dxa"/>
            </w:tcMar>
          </w:tcPr>
          <w:p w:rsidR="00031BA2" w:rsidRPr="00B9369E" w:rsidRDefault="00031BA2" w:rsidP="00031BA2">
            <w:pPr>
              <w:autoSpaceDE w:val="0"/>
              <w:autoSpaceDN w:val="0"/>
              <w:adjustRightInd w:val="0"/>
              <w:rPr>
                <w:rFonts w:ascii="Arial" w:hAnsi="Arial" w:cs="Arial"/>
                <w:sz w:val="2"/>
                <w:szCs w:val="20"/>
              </w:rPr>
            </w:pPr>
          </w:p>
        </w:tc>
        <w:tc>
          <w:tcPr>
            <w:tcW w:w="4961" w:type="dxa"/>
            <w:tcBorders>
              <w:top w:val="single" w:sz="4" w:space="0" w:color="00B4E3" w:themeColor="accent1"/>
              <w:left w:val="nil"/>
              <w:bottom w:val="single" w:sz="4" w:space="0" w:color="00B4E3" w:themeColor="accent1"/>
              <w:right w:val="nil"/>
            </w:tcBorders>
            <w:shd w:val="clear" w:color="auto" w:fill="auto"/>
            <w:tcMar>
              <w:top w:w="113" w:type="dxa"/>
              <w:bottom w:w="113" w:type="dxa"/>
            </w:tcMar>
          </w:tcPr>
          <w:p w:rsidR="00031BA2" w:rsidRPr="00B9369E" w:rsidRDefault="00031BA2" w:rsidP="00031BA2">
            <w:pPr>
              <w:rPr>
                <w:rFonts w:ascii="Arial" w:hAnsi="Arial" w:cs="Arial"/>
                <w:sz w:val="2"/>
                <w:szCs w:val="20"/>
              </w:rPr>
            </w:pPr>
          </w:p>
        </w:tc>
      </w:tr>
      <w:tr w:rsidR="00031BA2" w:rsidRPr="00B9369E" w:rsidTr="0003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00B4E3" w:themeColor="accent1"/>
              <w:left w:val="single" w:sz="4" w:space="0" w:color="00B4E3" w:themeColor="accent1"/>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4</w:t>
            </w:r>
          </w:p>
        </w:tc>
        <w:tc>
          <w:tcPr>
            <w:tcW w:w="4678" w:type="dxa"/>
            <w:tcBorders>
              <w:top w:val="single" w:sz="4" w:space="0" w:color="00B4E3" w:themeColor="accent1"/>
              <w:left w:val="nil"/>
              <w:bottom w:val="single" w:sz="4" w:space="0" w:color="00B4E3" w:themeColor="accent1"/>
              <w:right w:val="nil"/>
            </w:tcBorders>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It is recommended that consideration be given to establishing a central, independent appeals body (e.g. within the MBA) to hear appeals relating to administrative matters. These include appeals relating to college processes, the </w:t>
            </w:r>
            <w:r w:rsidRPr="00B9369E">
              <w:rPr>
                <w:rFonts w:ascii="Arial" w:hAnsi="Arial" w:cs="Arial"/>
                <w:i/>
                <w:iCs/>
                <w:sz w:val="20"/>
                <w:szCs w:val="20"/>
              </w:rPr>
              <w:t xml:space="preserve">Good Practice Guidelines, </w:t>
            </w:r>
            <w:r w:rsidRPr="00B9369E">
              <w:rPr>
                <w:rFonts w:ascii="Arial" w:hAnsi="Arial" w:cs="Arial"/>
                <w:sz w:val="20"/>
                <w:szCs w:val="20"/>
              </w:rPr>
              <w:t>and appropriate decision making. Establishing an independent appeals body across all colleges could increase confidence and accountability in appeals decisions, and reduce the costs of appeals.</w:t>
            </w:r>
          </w:p>
        </w:tc>
        <w:tc>
          <w:tcPr>
            <w:tcW w:w="4961" w:type="dxa"/>
            <w:tcBorders>
              <w:top w:val="single" w:sz="4" w:space="0" w:color="00B4E3" w:themeColor="accent1"/>
              <w:left w:val="nil"/>
              <w:bottom w:val="single" w:sz="4" w:space="0" w:color="00B4E3" w:themeColor="accent1"/>
              <w:right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The Board agrees that an independent appeals body to hear appeals relating to administrative matters would increase confidence and accountability in appeals decisions. It is unlikely to reduce the costs of appeals; it is more likely to shift costs.</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The Board does not believe that it is the appropriate body to hear appeals relating to administrative matters. Appellants may not accept that the Board is sufficiently independent, noting that the Board would make the decision to grant specialist registration.</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would prefer that appeals relating to administrative matters be referred to an experienced, independent, existing entity that is external to the Board and AHPRA. It will explore this option further.  </w:t>
            </w:r>
          </w:p>
        </w:tc>
      </w:tr>
    </w:tbl>
    <w:p w:rsidR="00B9369E" w:rsidRDefault="00B9369E">
      <w:pPr>
        <w:rPr>
          <w:rFonts w:ascii="Arial" w:hAnsi="Arial" w:cs="Arial"/>
        </w:rPr>
      </w:pPr>
    </w:p>
    <w:p w:rsidR="00B9369E" w:rsidRDefault="00B9369E">
      <w:pPr>
        <w:rPr>
          <w:rFonts w:ascii="Arial" w:hAnsi="Arial" w:cs="Arial"/>
        </w:rPr>
      </w:pPr>
      <w:r>
        <w:rPr>
          <w:rFonts w:ascii="Arial" w:hAnsi="Arial" w:cs="Arial"/>
        </w:rPr>
        <w:br w:type="page"/>
      </w: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426"/>
        <w:gridCol w:w="4678"/>
        <w:gridCol w:w="4961"/>
      </w:tblGrid>
      <w:tr w:rsidR="00031BA2" w:rsidRPr="00B9369E" w:rsidTr="00031BA2">
        <w:trPr>
          <w:tblHeader/>
        </w:trPr>
        <w:tc>
          <w:tcPr>
            <w:tcW w:w="5104" w:type="dxa"/>
            <w:gridSpan w:val="2"/>
            <w:tcBorders>
              <w:top w:val="nil"/>
              <w:left w:val="nil"/>
              <w:bottom w:val="nil"/>
              <w:right w:val="nil"/>
            </w:tcBorders>
            <w:shd w:val="clear" w:color="auto" w:fill="00B4E3" w:themeFill="accent1"/>
            <w:tcMar>
              <w:top w:w="113" w:type="dxa"/>
              <w:bottom w:w="113" w:type="dxa"/>
            </w:tcMar>
          </w:tcPr>
          <w:p w:rsidR="00031BA2" w:rsidRPr="00B9369E" w:rsidRDefault="00EA29F0" w:rsidP="00C57943">
            <w:pPr>
              <w:spacing w:before="60" w:after="60"/>
              <w:ind w:left="602"/>
              <w:rPr>
                <w:rFonts w:ascii="Arial" w:hAnsi="Arial" w:cs="Arial"/>
                <w:color w:val="FFFFFF" w:themeColor="background1"/>
                <w:szCs w:val="18"/>
              </w:rPr>
            </w:pPr>
            <w:r w:rsidRPr="00B9369E">
              <w:rPr>
                <w:rFonts w:ascii="Arial" w:hAnsi="Arial" w:cs="Arial"/>
                <w:color w:val="FFFFFF" w:themeColor="background1"/>
                <w:szCs w:val="18"/>
              </w:rPr>
              <w:lastRenderedPageBreak/>
              <w:t xml:space="preserve">Deloitte </w:t>
            </w:r>
            <w:r>
              <w:rPr>
                <w:rFonts w:ascii="Arial" w:hAnsi="Arial" w:cs="Arial"/>
                <w:color w:val="FFFFFF" w:themeColor="background1"/>
                <w:szCs w:val="18"/>
              </w:rPr>
              <w:t>Access Economics</w:t>
            </w:r>
            <w:r w:rsidR="00031BA2" w:rsidRPr="00B9369E">
              <w:rPr>
                <w:rFonts w:ascii="Arial" w:hAnsi="Arial" w:cs="Arial"/>
                <w:color w:val="FFFFFF" w:themeColor="background1"/>
                <w:szCs w:val="18"/>
              </w:rPr>
              <w:t xml:space="preserve"> recommendation</w:t>
            </w:r>
          </w:p>
        </w:tc>
        <w:tc>
          <w:tcPr>
            <w:tcW w:w="4961" w:type="dxa"/>
            <w:tcBorders>
              <w:top w:val="nil"/>
              <w:left w:val="nil"/>
              <w:bottom w:val="nil"/>
              <w:right w:val="nil"/>
            </w:tcBorders>
            <w:shd w:val="clear" w:color="auto" w:fill="00B4E3" w:themeFill="accent1"/>
            <w:tcMar>
              <w:top w:w="113" w:type="dxa"/>
              <w:bottom w:w="113" w:type="dxa"/>
            </w:tcMar>
          </w:tcPr>
          <w:p w:rsidR="00031BA2" w:rsidRPr="00B9369E" w:rsidRDefault="00031BA2"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00B4E3" w:themeColor="accent1"/>
              <w:left w:val="single" w:sz="4" w:space="0" w:color="00B4E3" w:themeColor="accent1"/>
              <w:bottom w:val="single" w:sz="4" w:space="0" w:color="00B4E3" w:themeColor="accent1"/>
              <w:right w:val="nil"/>
            </w:tcBorders>
            <w:tcMar>
              <w:top w:w="113" w:type="dxa"/>
              <w:left w:w="113" w:type="dxa"/>
              <w:bottom w:w="113" w:type="dxa"/>
              <w:right w:w="0"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2</w:t>
            </w:r>
          </w:p>
        </w:tc>
        <w:tc>
          <w:tcPr>
            <w:tcW w:w="4678" w:type="dxa"/>
            <w:tcBorders>
              <w:top w:val="single" w:sz="4" w:space="0" w:color="00B4E3" w:themeColor="accent1"/>
              <w:left w:val="nil"/>
              <w:bottom w:val="single" w:sz="4" w:space="0" w:color="00B4E3" w:themeColor="accent1"/>
              <w:right w:val="nil"/>
            </w:tcBorders>
            <w:tcMar>
              <w:top w:w="113" w:type="dxa"/>
              <w:bottom w:w="113" w:type="dxa"/>
            </w:tcMar>
          </w:tcPr>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 xml:space="preserve">It is recommended that MBA data collection and reporting be based on an individual record system. Under such a system, each SIMG application would be recorded by colleges as a separate data line, with key data collected throughout the entire assessment process (including dates and assessment outcomes). </w:t>
            </w:r>
            <w:r w:rsidR="00D77F07" w:rsidRPr="00B9369E">
              <w:rPr>
                <w:rFonts w:ascii="Arial" w:hAnsi="Arial" w:cs="Arial"/>
                <w:sz w:val="20"/>
                <w:szCs w:val="20"/>
              </w:rPr>
              <w:br/>
            </w:r>
            <w:r w:rsidRPr="00B9369E">
              <w:rPr>
                <w:rFonts w:ascii="Arial" w:hAnsi="Arial" w:cs="Arial"/>
                <w:sz w:val="20"/>
                <w:szCs w:val="20"/>
              </w:rPr>
              <w:t xml:space="preserve">Many of these data are already collected in existing college systems for monitoring applications. </w:t>
            </w:r>
          </w:p>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Moving to an individual record system would enable robust data analysis, including analysis by cohorts, and tracking of applications across years. It could also improve data quality and potentially reduce the effort required by some colleges in reporting data to the MBA.</w:t>
            </w:r>
          </w:p>
          <w:p w:rsidR="00031BA2" w:rsidRPr="00B9369E" w:rsidRDefault="00031BA2" w:rsidP="00031BA2">
            <w:pPr>
              <w:autoSpaceDE w:val="0"/>
              <w:autoSpaceDN w:val="0"/>
              <w:adjustRightInd w:val="0"/>
              <w:spacing w:before="200" w:after="200"/>
              <w:rPr>
                <w:rFonts w:ascii="Arial" w:hAnsi="Arial" w:cs="Arial"/>
                <w:sz w:val="20"/>
                <w:szCs w:val="20"/>
              </w:rPr>
            </w:pPr>
            <w:r w:rsidRPr="00B9369E">
              <w:rPr>
                <w:rFonts w:ascii="Arial" w:hAnsi="Arial" w:cs="Arial"/>
                <w:sz w:val="20"/>
                <w:szCs w:val="20"/>
              </w:rPr>
              <w:t>Colleges could be provided with a template spreadsheet to help track SIMG applications and record key data items. This may particularly assist smaller colleges without existing systems for monitoring applications.</w:t>
            </w:r>
          </w:p>
        </w:tc>
        <w:tc>
          <w:tcPr>
            <w:tcW w:w="4961" w:type="dxa"/>
            <w:tcBorders>
              <w:top w:val="single" w:sz="4" w:space="0" w:color="00B4E3" w:themeColor="accent1"/>
              <w:left w:val="nil"/>
              <w:bottom w:val="single" w:sz="4" w:space="0" w:color="00B4E3" w:themeColor="accent1"/>
              <w:right w:val="single" w:sz="4" w:space="0" w:color="00B4E3" w:themeColor="accent1"/>
            </w:tcBorders>
            <w:shd w:val="clear" w:color="auto" w:fill="auto"/>
            <w:tcMar>
              <w:top w:w="113" w:type="dxa"/>
              <w:bottom w:w="113" w:type="dxa"/>
            </w:tcMar>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does not accept this recommendation at this time. The Board’s annual ‘Report on specialist medical colleges’ specialist pathway data’ provides a snapshot of applications and outcomes. The Board will ask colleges to continue reporting data in the current format, but notes the potential opportunities for expanded data analysis and will consider this in the future. </w:t>
            </w:r>
          </w:p>
          <w:p w:rsidR="00031BA2" w:rsidRPr="00B9369E" w:rsidRDefault="00031BA2" w:rsidP="00031BA2">
            <w:pPr>
              <w:spacing w:before="200" w:after="200"/>
              <w:rPr>
                <w:rFonts w:ascii="Arial" w:hAnsi="Arial" w:cs="Arial"/>
                <w:sz w:val="20"/>
                <w:szCs w:val="20"/>
              </w:rPr>
            </w:pPr>
          </w:p>
        </w:tc>
      </w:tr>
    </w:tbl>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p w:rsidR="00031BA2" w:rsidRPr="00B9369E" w:rsidRDefault="00031BA2">
      <w:pPr>
        <w:rPr>
          <w:rFonts w:ascii="Arial" w:hAnsi="Arial" w:cs="Arial"/>
        </w:rPr>
      </w:pP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5104"/>
        <w:gridCol w:w="4961"/>
      </w:tblGrid>
      <w:tr w:rsidR="00031BA2" w:rsidRPr="00B9369E" w:rsidTr="00031BA2">
        <w:trPr>
          <w:tblHeader/>
        </w:trPr>
        <w:tc>
          <w:tcPr>
            <w:tcW w:w="5104" w:type="dxa"/>
            <w:tcBorders>
              <w:top w:val="nil"/>
              <w:left w:val="nil"/>
              <w:bottom w:val="nil"/>
              <w:right w:val="nil"/>
            </w:tcBorders>
            <w:shd w:val="clear" w:color="auto" w:fill="auto"/>
            <w:tcMar>
              <w:top w:w="113" w:type="dxa"/>
              <w:bottom w:w="113" w:type="dxa"/>
            </w:tcMar>
          </w:tcPr>
          <w:p w:rsidR="00031BA2" w:rsidRPr="00B9369E" w:rsidRDefault="00031BA2" w:rsidP="00031BA2">
            <w:pPr>
              <w:spacing w:before="60" w:after="60"/>
              <w:ind w:left="34"/>
              <w:rPr>
                <w:rFonts w:ascii="Arial" w:hAnsi="Arial" w:cs="Arial"/>
                <w:color w:val="54575A" w:themeColor="text1"/>
                <w:sz w:val="24"/>
                <w:szCs w:val="18"/>
              </w:rPr>
            </w:pPr>
            <w:r w:rsidRPr="00B9369E">
              <w:rPr>
                <w:rFonts w:ascii="Arial" w:hAnsi="Arial" w:cs="Arial"/>
                <w:color w:val="54575A" w:themeColor="text1"/>
                <w:sz w:val="24"/>
                <w:szCs w:val="18"/>
              </w:rPr>
              <w:lastRenderedPageBreak/>
              <w:t>Compliance measures</w:t>
            </w:r>
          </w:p>
        </w:tc>
        <w:tc>
          <w:tcPr>
            <w:tcW w:w="4961" w:type="dxa"/>
            <w:tcBorders>
              <w:top w:val="nil"/>
              <w:left w:val="nil"/>
              <w:bottom w:val="nil"/>
              <w:right w:val="nil"/>
            </w:tcBorders>
            <w:shd w:val="clear" w:color="auto" w:fill="auto"/>
            <w:tcMar>
              <w:top w:w="113" w:type="dxa"/>
              <w:bottom w:w="113" w:type="dxa"/>
            </w:tcMar>
          </w:tcPr>
          <w:p w:rsidR="00031BA2" w:rsidRPr="00B9369E" w:rsidRDefault="00031BA2" w:rsidP="00C57943">
            <w:pPr>
              <w:spacing w:before="60" w:after="60"/>
              <w:rPr>
                <w:rFonts w:ascii="Arial" w:hAnsi="Arial" w:cs="Arial"/>
                <w:color w:val="54575A" w:themeColor="text1"/>
                <w:sz w:val="24"/>
                <w:szCs w:val="18"/>
              </w:rPr>
            </w:pPr>
          </w:p>
        </w:tc>
      </w:tr>
      <w:tr w:rsidR="00031BA2" w:rsidRPr="00B9369E" w:rsidTr="00C57943">
        <w:trPr>
          <w:tblHeader/>
        </w:trPr>
        <w:tc>
          <w:tcPr>
            <w:tcW w:w="5104" w:type="dxa"/>
            <w:tcBorders>
              <w:top w:val="nil"/>
              <w:left w:val="nil"/>
              <w:bottom w:val="nil"/>
              <w:right w:val="nil"/>
            </w:tcBorders>
            <w:shd w:val="clear" w:color="auto" w:fill="00B4E3" w:themeFill="accent1"/>
            <w:tcMar>
              <w:top w:w="113" w:type="dxa"/>
              <w:bottom w:w="113" w:type="dxa"/>
            </w:tcMar>
          </w:tcPr>
          <w:p w:rsidR="00031BA2" w:rsidRPr="00B9369E" w:rsidRDefault="00EA29F0" w:rsidP="00031BA2">
            <w:pPr>
              <w:spacing w:before="60" w:after="60"/>
              <w:ind w:left="34"/>
              <w:rPr>
                <w:rFonts w:ascii="Arial" w:hAnsi="Arial" w:cs="Arial"/>
                <w:color w:val="FFFFFF" w:themeColor="background1"/>
                <w:szCs w:val="18"/>
              </w:rPr>
            </w:pPr>
            <w:r w:rsidRPr="00B9369E">
              <w:rPr>
                <w:rFonts w:ascii="Arial" w:hAnsi="Arial" w:cs="Arial"/>
                <w:color w:val="FFFFFF" w:themeColor="background1"/>
                <w:szCs w:val="18"/>
              </w:rPr>
              <w:t xml:space="preserve">Deloitte </w:t>
            </w:r>
            <w:r>
              <w:rPr>
                <w:rFonts w:ascii="Arial" w:hAnsi="Arial" w:cs="Arial"/>
                <w:color w:val="FFFFFF" w:themeColor="background1"/>
                <w:szCs w:val="18"/>
              </w:rPr>
              <w:t>Access Economics</w:t>
            </w:r>
            <w:r w:rsidR="00031BA2" w:rsidRPr="00B9369E">
              <w:rPr>
                <w:rFonts w:ascii="Arial" w:hAnsi="Arial" w:cs="Arial"/>
                <w:color w:val="FFFFFF" w:themeColor="background1"/>
                <w:szCs w:val="18"/>
              </w:rPr>
              <w:t xml:space="preserve"> recommendation </w:t>
            </w:r>
          </w:p>
        </w:tc>
        <w:tc>
          <w:tcPr>
            <w:tcW w:w="4961" w:type="dxa"/>
            <w:tcBorders>
              <w:top w:val="nil"/>
              <w:left w:val="nil"/>
              <w:bottom w:val="nil"/>
              <w:right w:val="nil"/>
            </w:tcBorders>
            <w:shd w:val="clear" w:color="auto" w:fill="00B4E3" w:themeFill="accent1"/>
            <w:tcMar>
              <w:top w:w="113" w:type="dxa"/>
              <w:bottom w:w="113" w:type="dxa"/>
            </w:tcMar>
          </w:tcPr>
          <w:p w:rsidR="00031BA2" w:rsidRPr="00B9369E" w:rsidRDefault="00031BA2"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single" w:sz="4" w:space="0" w:color="00B4E3" w:themeColor="accent1"/>
              <w:left w:val="single" w:sz="4" w:space="0" w:color="00B4E3" w:themeColor="accent1"/>
              <w:bottom w:val="single" w:sz="4" w:space="0" w:color="00B4E3" w:themeColor="accent1"/>
              <w:right w:val="nil"/>
            </w:tcBorders>
          </w:tcPr>
          <w:p w:rsidR="00031BA2" w:rsidRPr="00EA29F0" w:rsidRDefault="00031BA2" w:rsidP="00031BA2">
            <w:pPr>
              <w:spacing w:before="200" w:after="200"/>
              <w:rPr>
                <w:rFonts w:ascii="Arial" w:hAnsi="Arial" w:cs="Arial"/>
                <w:b/>
                <w:sz w:val="20"/>
                <w:szCs w:val="20"/>
              </w:rPr>
            </w:pPr>
            <w:r w:rsidRPr="00EA29F0">
              <w:rPr>
                <w:rFonts w:ascii="Arial" w:hAnsi="Arial" w:cs="Arial"/>
                <w:b/>
                <w:sz w:val="20"/>
                <w:szCs w:val="20"/>
              </w:rPr>
              <w:t xml:space="preserve">Period of peer review - </w:t>
            </w:r>
            <w:r w:rsidR="00EA29F0">
              <w:rPr>
                <w:rFonts w:ascii="Arial" w:hAnsi="Arial" w:cs="Arial"/>
                <w:b/>
                <w:sz w:val="20"/>
                <w:szCs w:val="20"/>
              </w:rPr>
              <w:t>u</w:t>
            </w:r>
            <w:r w:rsidRPr="00EA29F0">
              <w:rPr>
                <w:rFonts w:ascii="Arial" w:hAnsi="Arial" w:cs="Arial"/>
                <w:b/>
                <w:sz w:val="20"/>
                <w:szCs w:val="20"/>
              </w:rPr>
              <w:t>p to 12 months FTE</w:t>
            </w:r>
          </w:p>
          <w:p w:rsidR="00031BA2" w:rsidRPr="00EA29F0" w:rsidRDefault="00031BA2" w:rsidP="00031BA2">
            <w:pPr>
              <w:spacing w:before="200" w:after="200"/>
              <w:rPr>
                <w:rFonts w:ascii="Arial" w:hAnsi="Arial" w:cs="Arial"/>
                <w:b/>
                <w:sz w:val="20"/>
                <w:szCs w:val="20"/>
              </w:rPr>
            </w:pPr>
            <w:r w:rsidRPr="00EA29F0">
              <w:rPr>
                <w:rFonts w:ascii="Arial" w:hAnsi="Arial" w:cs="Arial"/>
                <w:b/>
                <w:sz w:val="20"/>
                <w:szCs w:val="20"/>
              </w:rPr>
              <w:t xml:space="preserve">Period of supervision - </w:t>
            </w:r>
            <w:r w:rsidR="00EA29F0">
              <w:rPr>
                <w:rFonts w:ascii="Arial" w:hAnsi="Arial" w:cs="Arial"/>
                <w:b/>
                <w:sz w:val="20"/>
                <w:szCs w:val="20"/>
              </w:rPr>
              <w:t>u</w:t>
            </w:r>
            <w:r w:rsidRPr="00EA29F0">
              <w:rPr>
                <w:rFonts w:ascii="Arial" w:hAnsi="Arial" w:cs="Arial"/>
                <w:b/>
                <w:sz w:val="20"/>
                <w:szCs w:val="20"/>
              </w:rPr>
              <w:t>p to 24 months FTE</w:t>
            </w:r>
          </w:p>
          <w:p w:rsidR="00B43A62" w:rsidRPr="00B43A62" w:rsidRDefault="00B43A62" w:rsidP="00031BA2">
            <w:pPr>
              <w:spacing w:before="200" w:after="200"/>
              <w:rPr>
                <w:rFonts w:ascii="Arial" w:hAnsi="Arial" w:cs="Arial"/>
                <w:sz w:val="20"/>
                <w:szCs w:val="20"/>
              </w:rPr>
            </w:pPr>
            <w:r w:rsidRPr="00B43A62">
              <w:rPr>
                <w:rFonts w:ascii="Arial" w:hAnsi="Arial" w:cs="Arial"/>
                <w:sz w:val="20"/>
                <w:szCs w:val="20"/>
              </w:rPr>
              <w:t xml:space="preserve">These compliance measures ensure that the colleges are not asking the SIMG to spend longer than the </w:t>
            </w:r>
            <w:r w:rsidRPr="00B43A62">
              <w:rPr>
                <w:rFonts w:ascii="Arial" w:hAnsi="Arial" w:cs="Arial"/>
                <w:i/>
                <w:sz w:val="20"/>
                <w:szCs w:val="20"/>
              </w:rPr>
              <w:t>Good Practice Guidelines</w:t>
            </w:r>
            <w:r w:rsidRPr="00B43A62">
              <w:rPr>
                <w:rFonts w:ascii="Arial" w:hAnsi="Arial" w:cs="Arial"/>
                <w:sz w:val="20"/>
                <w:szCs w:val="20"/>
              </w:rPr>
              <w:t xml:space="preserve"> require. We consider this a useful check to have on the colleges.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For partially comparable SIMGs, the compliance measure is that colleges cannot ask SIMGs to undertake more that 24 months FTE of supervised practice. There is no minimum timeframe set.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In 2016, 20.9% of partially comparable SIMGs were not required to undertake any supervised practice.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definition of partially comparable in the </w:t>
            </w:r>
            <w:r w:rsidRPr="00B9369E">
              <w:rPr>
                <w:rFonts w:ascii="Arial" w:hAnsi="Arial" w:cs="Arial"/>
                <w:i/>
                <w:iCs/>
                <w:sz w:val="20"/>
                <w:szCs w:val="20"/>
              </w:rPr>
              <w:t xml:space="preserve">Good Practice Guidelines </w:t>
            </w:r>
            <w:r w:rsidRPr="00B9369E">
              <w:rPr>
                <w:rFonts w:ascii="Arial" w:hAnsi="Arial" w:cs="Arial"/>
                <w:sz w:val="20"/>
                <w:szCs w:val="20"/>
              </w:rPr>
              <w:t xml:space="preserve">is “Partially comparable applicants have been assessed as suitable to undertake a defined scope of practice in a supervised capacity”. </w:t>
            </w:r>
          </w:p>
          <w:p w:rsidR="00031BA2" w:rsidRPr="00B9369E" w:rsidRDefault="00031BA2" w:rsidP="00031BA2">
            <w:pPr>
              <w:tabs>
                <w:tab w:val="left" w:pos="2066"/>
                <w:tab w:val="left" w:pos="3731"/>
              </w:tabs>
              <w:autoSpaceDE w:val="0"/>
              <w:autoSpaceDN w:val="0"/>
              <w:adjustRightInd w:val="0"/>
              <w:spacing w:before="200" w:after="200"/>
              <w:rPr>
                <w:rFonts w:ascii="Arial" w:hAnsi="Arial" w:cs="Arial"/>
                <w:sz w:val="20"/>
                <w:szCs w:val="20"/>
              </w:rPr>
            </w:pPr>
            <w:r w:rsidRPr="00B9369E">
              <w:rPr>
                <w:rFonts w:ascii="Arial" w:hAnsi="Arial" w:cs="Arial"/>
                <w:sz w:val="20"/>
                <w:szCs w:val="20"/>
              </w:rPr>
              <w:t>We consider that a minimum time requirement for partially comparable applicants should be introduced, to ensure that the distinction between substantially and partially comparable applicants is clearer.</w:t>
            </w:r>
          </w:p>
        </w:tc>
        <w:tc>
          <w:tcPr>
            <w:tcW w:w="4961" w:type="dxa"/>
            <w:tcBorders>
              <w:top w:val="single" w:sz="4" w:space="0" w:color="00B4E3" w:themeColor="accent1"/>
              <w:left w:val="nil"/>
              <w:bottom w:val="single" w:sz="4" w:space="0" w:color="00B4E3" w:themeColor="accent1"/>
              <w:right w:val="single" w:sz="4" w:space="0" w:color="00B4E3" w:themeColor="accent1"/>
            </w:tcBorders>
            <w:shd w:val="clear" w:color="auto" w:fill="auto"/>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notes the concerns raised with the definition of ‘partially comparable’ and will seek the advice of the working group as to whether the definition should be revised to provide for a minimum period of supervision for partially comparable IMGs as part of the review of the </w:t>
            </w:r>
            <w:r w:rsidRPr="00B9369E">
              <w:rPr>
                <w:rFonts w:ascii="Arial" w:hAnsi="Arial" w:cs="Arial"/>
                <w:i/>
                <w:sz w:val="20"/>
                <w:szCs w:val="20"/>
              </w:rPr>
              <w:t xml:space="preserve">Good practice guidelines. </w:t>
            </w:r>
            <w:r w:rsidRPr="00B9369E">
              <w:rPr>
                <w:rFonts w:ascii="Arial" w:hAnsi="Arial" w:cs="Arial"/>
                <w:sz w:val="20"/>
                <w:szCs w:val="20"/>
              </w:rPr>
              <w:t xml:space="preserve"> </w:t>
            </w:r>
          </w:p>
          <w:p w:rsidR="00031BA2" w:rsidRPr="00B9369E" w:rsidRDefault="00031BA2" w:rsidP="00031BA2">
            <w:pPr>
              <w:spacing w:before="200" w:after="200"/>
              <w:rPr>
                <w:rFonts w:ascii="Arial" w:hAnsi="Arial" w:cs="Arial"/>
                <w:sz w:val="20"/>
                <w:szCs w:val="20"/>
              </w:rPr>
            </w:pPr>
          </w:p>
        </w:tc>
      </w:tr>
    </w:tbl>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B43A62" w:rsidRDefault="00B43A62">
      <w:pPr>
        <w:rPr>
          <w:rFonts w:ascii="Arial" w:hAnsi="Arial" w:cs="Arial"/>
        </w:rPr>
      </w:pPr>
      <w:r>
        <w:rPr>
          <w:rFonts w:ascii="Arial" w:hAnsi="Arial" w:cs="Arial"/>
        </w:rPr>
        <w:br w:type="page"/>
      </w: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5104"/>
        <w:gridCol w:w="4961"/>
      </w:tblGrid>
      <w:tr w:rsidR="005C0979" w:rsidRPr="00B9369E" w:rsidTr="00C57943">
        <w:trPr>
          <w:tblHeader/>
        </w:trPr>
        <w:tc>
          <w:tcPr>
            <w:tcW w:w="5104" w:type="dxa"/>
            <w:tcBorders>
              <w:top w:val="nil"/>
              <w:left w:val="nil"/>
              <w:bottom w:val="nil"/>
              <w:right w:val="nil"/>
            </w:tcBorders>
            <w:shd w:val="clear" w:color="auto" w:fill="auto"/>
            <w:tcMar>
              <w:top w:w="113" w:type="dxa"/>
              <w:bottom w:w="113" w:type="dxa"/>
            </w:tcMar>
          </w:tcPr>
          <w:p w:rsidR="005C0979" w:rsidRPr="00B9369E" w:rsidRDefault="005C0979" w:rsidP="00C57943">
            <w:pPr>
              <w:spacing w:before="60" w:after="60"/>
              <w:ind w:left="34"/>
              <w:rPr>
                <w:rFonts w:ascii="Arial" w:hAnsi="Arial" w:cs="Arial"/>
                <w:color w:val="54575A" w:themeColor="text1"/>
                <w:sz w:val="24"/>
                <w:szCs w:val="18"/>
              </w:rPr>
            </w:pPr>
            <w:r w:rsidRPr="00B9369E">
              <w:rPr>
                <w:rFonts w:ascii="Arial" w:hAnsi="Arial" w:cs="Arial"/>
                <w:color w:val="54575A" w:themeColor="text1"/>
                <w:sz w:val="24"/>
                <w:szCs w:val="18"/>
              </w:rPr>
              <w:lastRenderedPageBreak/>
              <w:t>Compliance measures</w:t>
            </w:r>
          </w:p>
        </w:tc>
        <w:tc>
          <w:tcPr>
            <w:tcW w:w="4961" w:type="dxa"/>
            <w:tcBorders>
              <w:top w:val="nil"/>
              <w:left w:val="nil"/>
              <w:bottom w:val="nil"/>
              <w:right w:val="nil"/>
            </w:tcBorders>
            <w:shd w:val="clear" w:color="auto" w:fill="auto"/>
            <w:tcMar>
              <w:top w:w="113" w:type="dxa"/>
              <w:bottom w:w="113" w:type="dxa"/>
            </w:tcMar>
          </w:tcPr>
          <w:p w:rsidR="005C0979" w:rsidRPr="00B9369E" w:rsidRDefault="005C0979" w:rsidP="00C57943">
            <w:pPr>
              <w:spacing w:before="60" w:after="60"/>
              <w:rPr>
                <w:rFonts w:ascii="Arial" w:hAnsi="Arial" w:cs="Arial"/>
                <w:color w:val="54575A" w:themeColor="text1"/>
                <w:sz w:val="24"/>
                <w:szCs w:val="18"/>
              </w:rPr>
            </w:pPr>
          </w:p>
        </w:tc>
      </w:tr>
      <w:tr w:rsidR="005C0979" w:rsidRPr="00B9369E" w:rsidTr="00C57943">
        <w:trPr>
          <w:tblHeader/>
        </w:trPr>
        <w:tc>
          <w:tcPr>
            <w:tcW w:w="5104" w:type="dxa"/>
            <w:tcBorders>
              <w:top w:val="nil"/>
              <w:left w:val="nil"/>
              <w:bottom w:val="nil"/>
              <w:right w:val="nil"/>
            </w:tcBorders>
            <w:shd w:val="clear" w:color="auto" w:fill="00B4E3" w:themeFill="accent1"/>
            <w:tcMar>
              <w:top w:w="113" w:type="dxa"/>
              <w:bottom w:w="113" w:type="dxa"/>
            </w:tcMar>
          </w:tcPr>
          <w:p w:rsidR="005C0979" w:rsidRPr="00B9369E" w:rsidRDefault="00EA29F0" w:rsidP="00C57943">
            <w:pPr>
              <w:spacing w:before="60" w:after="60"/>
              <w:ind w:left="34"/>
              <w:rPr>
                <w:rFonts w:ascii="Arial" w:hAnsi="Arial" w:cs="Arial"/>
                <w:color w:val="FFFFFF" w:themeColor="background1"/>
                <w:szCs w:val="18"/>
              </w:rPr>
            </w:pPr>
            <w:r w:rsidRPr="00B9369E">
              <w:rPr>
                <w:rFonts w:ascii="Arial" w:hAnsi="Arial" w:cs="Arial"/>
                <w:color w:val="FFFFFF" w:themeColor="background1"/>
                <w:szCs w:val="18"/>
              </w:rPr>
              <w:t xml:space="preserve">Deloitte </w:t>
            </w:r>
            <w:r>
              <w:rPr>
                <w:rFonts w:ascii="Arial" w:hAnsi="Arial" w:cs="Arial"/>
                <w:color w:val="FFFFFF" w:themeColor="background1"/>
                <w:szCs w:val="18"/>
              </w:rPr>
              <w:t>Access Economics</w:t>
            </w:r>
            <w:r w:rsidR="005C0979" w:rsidRPr="00B9369E">
              <w:rPr>
                <w:rFonts w:ascii="Arial" w:hAnsi="Arial" w:cs="Arial"/>
                <w:color w:val="FFFFFF" w:themeColor="background1"/>
                <w:szCs w:val="18"/>
              </w:rPr>
              <w:t xml:space="preserve"> recommendation </w:t>
            </w:r>
          </w:p>
        </w:tc>
        <w:tc>
          <w:tcPr>
            <w:tcW w:w="4961" w:type="dxa"/>
            <w:tcBorders>
              <w:top w:val="nil"/>
              <w:left w:val="nil"/>
              <w:bottom w:val="nil"/>
              <w:right w:val="nil"/>
            </w:tcBorders>
            <w:shd w:val="clear" w:color="auto" w:fill="00B4E3" w:themeFill="accent1"/>
            <w:tcMar>
              <w:top w:w="113" w:type="dxa"/>
              <w:bottom w:w="113" w:type="dxa"/>
            </w:tcMar>
          </w:tcPr>
          <w:p w:rsidR="005C0979" w:rsidRPr="00B9369E" w:rsidRDefault="005C0979"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single" w:sz="4" w:space="0" w:color="00B4E3" w:themeColor="accent1"/>
              <w:left w:val="single" w:sz="4" w:space="0" w:color="00B4E3" w:themeColor="accent1"/>
              <w:bottom w:val="single" w:sz="4" w:space="0" w:color="00B4E3" w:themeColor="accent1"/>
              <w:right w:val="nil"/>
            </w:tcBorders>
          </w:tcPr>
          <w:p w:rsidR="00031BA2" w:rsidRPr="00B9369E" w:rsidRDefault="00031BA2" w:rsidP="00031BA2">
            <w:pPr>
              <w:spacing w:before="200" w:after="200"/>
              <w:rPr>
                <w:rFonts w:ascii="Arial" w:hAnsi="Arial" w:cs="Arial"/>
                <w:b/>
                <w:sz w:val="20"/>
                <w:szCs w:val="20"/>
              </w:rPr>
            </w:pPr>
            <w:r w:rsidRPr="00B9369E">
              <w:rPr>
                <w:rFonts w:ascii="Arial" w:hAnsi="Arial" w:cs="Arial"/>
                <w:b/>
                <w:sz w:val="20"/>
                <w:szCs w:val="20"/>
              </w:rPr>
              <w:t xml:space="preserve">Formal examinations </w:t>
            </w:r>
          </w:p>
          <w:p w:rsidR="00031BA2" w:rsidRPr="00B9369E" w:rsidRDefault="00031BA2" w:rsidP="00031BA2">
            <w:pPr>
              <w:autoSpaceDE w:val="0"/>
              <w:autoSpaceDN w:val="0"/>
              <w:adjustRightInd w:val="0"/>
              <w:spacing w:before="200" w:after="200"/>
              <w:rPr>
                <w:rFonts w:ascii="Arial" w:hAnsi="Arial" w:cs="Arial"/>
                <w:color w:val="000000"/>
                <w:sz w:val="20"/>
                <w:szCs w:val="20"/>
              </w:rPr>
            </w:pPr>
            <w:r w:rsidRPr="00B9369E">
              <w:rPr>
                <w:rFonts w:ascii="Arial" w:hAnsi="Arial" w:cs="Arial"/>
                <w:color w:val="000000"/>
                <w:sz w:val="20"/>
                <w:szCs w:val="20"/>
              </w:rPr>
              <w:t xml:space="preserve">The </w:t>
            </w:r>
            <w:r w:rsidRPr="00B9369E">
              <w:rPr>
                <w:rFonts w:ascii="Arial" w:hAnsi="Arial" w:cs="Arial"/>
                <w:i/>
                <w:iCs/>
                <w:color w:val="000000"/>
                <w:sz w:val="20"/>
                <w:szCs w:val="20"/>
              </w:rPr>
              <w:t xml:space="preserve">Lost in the Labyrinth </w:t>
            </w:r>
            <w:r w:rsidRPr="00B9369E">
              <w:rPr>
                <w:rFonts w:ascii="Arial" w:hAnsi="Arial" w:cs="Arial"/>
                <w:color w:val="000000"/>
                <w:sz w:val="20"/>
                <w:szCs w:val="20"/>
              </w:rPr>
              <w:t xml:space="preserve">report recommended that formal examinations “should only be used as an assessment tool where specialist IMGs are recent graduates, or where deficiencies or concerns have been identified during the workplace-based assessment (WBA)”. This recommendation was adopted by the MBA and the </w:t>
            </w:r>
            <w:r w:rsidRPr="00B9369E">
              <w:rPr>
                <w:rFonts w:ascii="Arial" w:hAnsi="Arial" w:cs="Arial"/>
                <w:i/>
                <w:iCs/>
                <w:color w:val="000000"/>
                <w:sz w:val="20"/>
                <w:szCs w:val="20"/>
              </w:rPr>
              <w:t xml:space="preserve">Good Practice Guidelines </w:t>
            </w:r>
            <w:r w:rsidRPr="00B9369E">
              <w:rPr>
                <w:rFonts w:ascii="Arial" w:hAnsi="Arial" w:cs="Arial"/>
                <w:color w:val="000000"/>
                <w:sz w:val="20"/>
                <w:szCs w:val="20"/>
              </w:rPr>
              <w:t xml:space="preserve">set out that colleges should not ask substantially comparable SIMGs to undertake formal examinations. </w:t>
            </w:r>
          </w:p>
          <w:p w:rsidR="00031BA2" w:rsidRPr="00B9369E" w:rsidRDefault="00031BA2" w:rsidP="00031BA2">
            <w:pPr>
              <w:autoSpaceDE w:val="0"/>
              <w:autoSpaceDN w:val="0"/>
              <w:adjustRightInd w:val="0"/>
              <w:spacing w:before="200" w:after="200"/>
              <w:rPr>
                <w:rFonts w:ascii="Arial" w:hAnsi="Arial" w:cs="Arial"/>
                <w:color w:val="000000"/>
                <w:sz w:val="20"/>
                <w:szCs w:val="20"/>
              </w:rPr>
            </w:pPr>
            <w:r w:rsidRPr="00B9369E">
              <w:rPr>
                <w:rFonts w:ascii="Arial" w:hAnsi="Arial" w:cs="Arial"/>
                <w:color w:val="000000"/>
                <w:sz w:val="20"/>
                <w:szCs w:val="20"/>
              </w:rPr>
              <w:t xml:space="preserve">All colleges met this compliance measure for 2016. However, in some cases it appears that colleges may be assessing SIMGs as partially comparable and requiring that they undertake the formal examinations. This is particularly the case where the SIMGs are not required to undertake a period of supervised practice. </w:t>
            </w:r>
          </w:p>
          <w:p w:rsidR="00031BA2" w:rsidRPr="00B9369E" w:rsidRDefault="00031BA2" w:rsidP="00031BA2">
            <w:pPr>
              <w:spacing w:before="200" w:after="200"/>
              <w:rPr>
                <w:rFonts w:ascii="Arial" w:hAnsi="Arial" w:cs="Arial"/>
                <w:b/>
                <w:sz w:val="20"/>
                <w:szCs w:val="20"/>
              </w:rPr>
            </w:pPr>
            <w:r w:rsidRPr="00B9369E">
              <w:rPr>
                <w:rFonts w:ascii="Arial" w:hAnsi="Arial" w:cs="Arial"/>
                <w:color w:val="000000"/>
                <w:sz w:val="20"/>
                <w:szCs w:val="20"/>
              </w:rPr>
              <w:t xml:space="preserve">We have recommended that a minimum timeframe for supervised practice be set, which would partly resolve this issue. It may also be useful to have a more specific compliance measure for formal examinations, which reflects not only that substantially comparable applicants should not have to sit examinations, but also that SIMGs with a number of years of experience (for example greater than five years), should not be required to sit examinations that are more appropriately targeted at recent graduates, as set out in the recommendations from the </w:t>
            </w:r>
            <w:r w:rsidRPr="00B9369E">
              <w:rPr>
                <w:rFonts w:ascii="Arial" w:hAnsi="Arial" w:cs="Arial"/>
                <w:i/>
                <w:iCs/>
                <w:color w:val="000000"/>
                <w:sz w:val="20"/>
                <w:szCs w:val="20"/>
              </w:rPr>
              <w:t xml:space="preserve">Lost in the Labyrinth </w:t>
            </w:r>
            <w:r w:rsidRPr="00B9369E">
              <w:rPr>
                <w:rFonts w:ascii="Arial" w:hAnsi="Arial" w:cs="Arial"/>
                <w:color w:val="000000"/>
                <w:sz w:val="20"/>
                <w:szCs w:val="20"/>
              </w:rPr>
              <w:t>report.</w:t>
            </w:r>
          </w:p>
        </w:tc>
        <w:tc>
          <w:tcPr>
            <w:tcW w:w="4961" w:type="dxa"/>
            <w:tcBorders>
              <w:top w:val="single" w:sz="4" w:space="0" w:color="00B4E3" w:themeColor="accent1"/>
              <w:left w:val="nil"/>
              <w:bottom w:val="single" w:sz="4" w:space="0" w:color="00B4E3" w:themeColor="accent1"/>
              <w:right w:val="single" w:sz="4" w:space="0" w:color="00B4E3" w:themeColor="accent1"/>
            </w:tcBorders>
            <w:shd w:val="clear" w:color="auto" w:fill="auto"/>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will refer this recommendation to the working group for consideration as part of the review of the </w:t>
            </w:r>
            <w:r w:rsidRPr="00B9369E">
              <w:rPr>
                <w:rFonts w:ascii="Arial" w:hAnsi="Arial" w:cs="Arial"/>
                <w:i/>
                <w:sz w:val="20"/>
                <w:szCs w:val="20"/>
              </w:rPr>
              <w:t xml:space="preserve">Good practice guidelines. </w:t>
            </w:r>
            <w:r w:rsidRPr="00B9369E">
              <w:rPr>
                <w:rFonts w:ascii="Arial" w:hAnsi="Arial" w:cs="Arial"/>
                <w:sz w:val="20"/>
                <w:szCs w:val="20"/>
              </w:rPr>
              <w:t xml:space="preserve"> </w:t>
            </w:r>
          </w:p>
        </w:tc>
      </w:tr>
    </w:tbl>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5C0979" w:rsidRPr="00B9369E" w:rsidRDefault="005C0979">
      <w:pPr>
        <w:rPr>
          <w:rFonts w:ascii="Arial" w:hAnsi="Arial" w:cs="Arial"/>
        </w:rPr>
      </w:pPr>
    </w:p>
    <w:p w:rsidR="00B9369E" w:rsidRDefault="00B9369E">
      <w:r>
        <w:br w:type="page"/>
      </w:r>
    </w:p>
    <w:tbl>
      <w:tblPr>
        <w:tblStyle w:val="TableGrid"/>
        <w:tblW w:w="10065" w:type="dxa"/>
        <w:tblInd w:w="-318" w:type="dxa"/>
        <w:tblBorders>
          <w:top w:val="single" w:sz="4" w:space="0" w:color="00B4E3" w:themeColor="accent1"/>
          <w:left w:val="single" w:sz="4" w:space="0" w:color="00B4E3" w:themeColor="accent1"/>
          <w:bottom w:val="single" w:sz="4" w:space="0" w:color="00B4E3" w:themeColor="accent1"/>
          <w:right w:val="single" w:sz="4" w:space="0" w:color="00B4E3" w:themeColor="accent1"/>
          <w:insideH w:val="single" w:sz="4" w:space="0" w:color="00B4E3" w:themeColor="accent1"/>
          <w:insideV w:val="single" w:sz="4" w:space="0" w:color="00B4E3" w:themeColor="accent1"/>
        </w:tblBorders>
        <w:tblLayout w:type="fixed"/>
        <w:tblLook w:val="04A0" w:firstRow="1" w:lastRow="0" w:firstColumn="1" w:lastColumn="0" w:noHBand="0" w:noVBand="1"/>
      </w:tblPr>
      <w:tblGrid>
        <w:gridCol w:w="5104"/>
        <w:gridCol w:w="4961"/>
      </w:tblGrid>
      <w:tr w:rsidR="005C0979" w:rsidRPr="00B9369E" w:rsidTr="00C57943">
        <w:trPr>
          <w:tblHeader/>
        </w:trPr>
        <w:tc>
          <w:tcPr>
            <w:tcW w:w="5104" w:type="dxa"/>
            <w:tcBorders>
              <w:top w:val="nil"/>
              <w:left w:val="nil"/>
              <w:bottom w:val="nil"/>
              <w:right w:val="nil"/>
            </w:tcBorders>
            <w:shd w:val="clear" w:color="auto" w:fill="auto"/>
            <w:tcMar>
              <w:top w:w="113" w:type="dxa"/>
              <w:bottom w:w="113" w:type="dxa"/>
            </w:tcMar>
          </w:tcPr>
          <w:p w:rsidR="005C0979" w:rsidRPr="00B9369E" w:rsidRDefault="005C0979" w:rsidP="00C57943">
            <w:pPr>
              <w:spacing w:before="60" w:after="60"/>
              <w:ind w:left="34"/>
              <w:rPr>
                <w:rFonts w:ascii="Arial" w:hAnsi="Arial" w:cs="Arial"/>
                <w:color w:val="54575A" w:themeColor="text1"/>
                <w:sz w:val="24"/>
                <w:szCs w:val="18"/>
              </w:rPr>
            </w:pPr>
            <w:r w:rsidRPr="00B9369E">
              <w:rPr>
                <w:rFonts w:ascii="Arial" w:hAnsi="Arial" w:cs="Arial"/>
                <w:color w:val="54575A" w:themeColor="text1"/>
                <w:sz w:val="24"/>
                <w:szCs w:val="18"/>
              </w:rPr>
              <w:lastRenderedPageBreak/>
              <w:t>Compliance measures</w:t>
            </w:r>
          </w:p>
        </w:tc>
        <w:tc>
          <w:tcPr>
            <w:tcW w:w="4961" w:type="dxa"/>
            <w:tcBorders>
              <w:top w:val="nil"/>
              <w:left w:val="nil"/>
              <w:bottom w:val="nil"/>
              <w:right w:val="nil"/>
            </w:tcBorders>
            <w:shd w:val="clear" w:color="auto" w:fill="auto"/>
            <w:tcMar>
              <w:top w:w="113" w:type="dxa"/>
              <w:bottom w:w="113" w:type="dxa"/>
            </w:tcMar>
          </w:tcPr>
          <w:p w:rsidR="005C0979" w:rsidRPr="00B9369E" w:rsidRDefault="005C0979" w:rsidP="00C57943">
            <w:pPr>
              <w:spacing w:before="60" w:after="60"/>
              <w:rPr>
                <w:rFonts w:ascii="Arial" w:hAnsi="Arial" w:cs="Arial"/>
                <w:color w:val="54575A" w:themeColor="text1"/>
                <w:sz w:val="24"/>
                <w:szCs w:val="18"/>
              </w:rPr>
            </w:pPr>
          </w:p>
        </w:tc>
      </w:tr>
      <w:tr w:rsidR="005C0979" w:rsidRPr="00B9369E" w:rsidTr="00C57943">
        <w:trPr>
          <w:tblHeader/>
        </w:trPr>
        <w:tc>
          <w:tcPr>
            <w:tcW w:w="5104" w:type="dxa"/>
            <w:tcBorders>
              <w:top w:val="nil"/>
              <w:left w:val="nil"/>
              <w:bottom w:val="nil"/>
              <w:right w:val="nil"/>
            </w:tcBorders>
            <w:shd w:val="clear" w:color="auto" w:fill="00B4E3" w:themeFill="accent1"/>
            <w:tcMar>
              <w:top w:w="113" w:type="dxa"/>
              <w:bottom w:w="113" w:type="dxa"/>
            </w:tcMar>
          </w:tcPr>
          <w:p w:rsidR="005C0979" w:rsidRPr="00B9369E" w:rsidRDefault="005C0979" w:rsidP="00C57943">
            <w:pPr>
              <w:spacing w:before="60" w:after="60"/>
              <w:ind w:left="34"/>
              <w:rPr>
                <w:rFonts w:ascii="Arial" w:hAnsi="Arial" w:cs="Arial"/>
                <w:color w:val="FFFFFF" w:themeColor="background1"/>
                <w:szCs w:val="18"/>
              </w:rPr>
            </w:pPr>
            <w:r w:rsidRPr="00B9369E">
              <w:rPr>
                <w:rFonts w:ascii="Arial" w:hAnsi="Arial" w:cs="Arial"/>
                <w:color w:val="FFFFFF" w:themeColor="background1"/>
                <w:szCs w:val="18"/>
              </w:rPr>
              <w:t xml:space="preserve">Deloitte recommendation </w:t>
            </w:r>
          </w:p>
        </w:tc>
        <w:tc>
          <w:tcPr>
            <w:tcW w:w="4961" w:type="dxa"/>
            <w:tcBorders>
              <w:top w:val="nil"/>
              <w:left w:val="nil"/>
              <w:bottom w:val="nil"/>
              <w:right w:val="nil"/>
            </w:tcBorders>
            <w:shd w:val="clear" w:color="auto" w:fill="00B4E3" w:themeFill="accent1"/>
            <w:tcMar>
              <w:top w:w="113" w:type="dxa"/>
              <w:bottom w:w="113" w:type="dxa"/>
            </w:tcMar>
          </w:tcPr>
          <w:p w:rsidR="005C0979" w:rsidRPr="00B9369E" w:rsidRDefault="005C0979" w:rsidP="00C57943">
            <w:pPr>
              <w:spacing w:before="60" w:after="60"/>
              <w:rPr>
                <w:rFonts w:ascii="Arial" w:hAnsi="Arial" w:cs="Arial"/>
                <w:color w:val="FFFFFF" w:themeColor="background1"/>
                <w:szCs w:val="18"/>
              </w:rPr>
            </w:pPr>
            <w:r w:rsidRPr="00B9369E">
              <w:rPr>
                <w:rFonts w:ascii="Arial" w:hAnsi="Arial" w:cs="Arial"/>
                <w:color w:val="FFFFFF" w:themeColor="background1"/>
                <w:szCs w:val="18"/>
              </w:rPr>
              <w:t>Medical Board of Australia response</w:t>
            </w:r>
          </w:p>
        </w:tc>
      </w:tr>
      <w:tr w:rsidR="00031BA2" w:rsidRPr="00B9369E" w:rsidTr="0003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single" w:sz="4" w:space="0" w:color="00B4E3" w:themeColor="accent1"/>
              <w:left w:val="single" w:sz="4" w:space="0" w:color="00B4E3" w:themeColor="accent1"/>
              <w:bottom w:val="single" w:sz="4" w:space="0" w:color="00B4E3" w:themeColor="accent1"/>
              <w:right w:val="nil"/>
            </w:tcBorders>
          </w:tcPr>
          <w:p w:rsidR="00031BA2" w:rsidRPr="00B9369E" w:rsidRDefault="00031BA2" w:rsidP="00031BA2">
            <w:pPr>
              <w:spacing w:before="200" w:after="200"/>
              <w:rPr>
                <w:rFonts w:ascii="Arial" w:hAnsi="Arial" w:cs="Arial"/>
                <w:b/>
                <w:sz w:val="20"/>
                <w:szCs w:val="20"/>
              </w:rPr>
            </w:pPr>
            <w:r w:rsidRPr="00B9369E">
              <w:rPr>
                <w:rFonts w:ascii="Arial" w:hAnsi="Arial" w:cs="Arial"/>
                <w:sz w:val="20"/>
                <w:szCs w:val="20"/>
              </w:rPr>
              <w:br w:type="page"/>
            </w:r>
            <w:r w:rsidRPr="00B9369E">
              <w:rPr>
                <w:rFonts w:ascii="Arial" w:hAnsi="Arial" w:cs="Arial"/>
                <w:b/>
                <w:sz w:val="20"/>
                <w:szCs w:val="20"/>
              </w:rPr>
              <w:t xml:space="preserve">Timeframe to complete requirements </w:t>
            </w:r>
          </w:p>
          <w:p w:rsidR="00031BA2" w:rsidRPr="00B9369E" w:rsidRDefault="00031BA2" w:rsidP="00D30EFB">
            <w:pPr>
              <w:pStyle w:val="ListParagraph"/>
              <w:numPr>
                <w:ilvl w:val="0"/>
                <w:numId w:val="4"/>
              </w:numPr>
              <w:spacing w:before="200"/>
              <w:rPr>
                <w:rFonts w:ascii="Arial" w:hAnsi="Arial" w:cs="Arial"/>
                <w:sz w:val="20"/>
                <w:szCs w:val="20"/>
              </w:rPr>
            </w:pPr>
            <w:r w:rsidRPr="00B9369E">
              <w:rPr>
                <w:rFonts w:ascii="Arial" w:hAnsi="Arial" w:cs="Arial"/>
                <w:sz w:val="20"/>
                <w:szCs w:val="20"/>
              </w:rPr>
              <w:t>Substantially comparable</w:t>
            </w:r>
            <w:r w:rsidR="00D30EFB" w:rsidRPr="00B9369E">
              <w:rPr>
                <w:rFonts w:ascii="Arial" w:hAnsi="Arial" w:cs="Arial"/>
                <w:sz w:val="20"/>
                <w:szCs w:val="20"/>
              </w:rPr>
              <w:t xml:space="preserve"> </w:t>
            </w:r>
            <w:r w:rsidRPr="00B9369E">
              <w:rPr>
                <w:rFonts w:ascii="Arial" w:hAnsi="Arial" w:cs="Arial"/>
                <w:sz w:val="20"/>
                <w:szCs w:val="20"/>
              </w:rPr>
              <w:t xml:space="preserve">- Up to </w:t>
            </w:r>
            <w:r w:rsidR="00D30EFB" w:rsidRPr="00B9369E">
              <w:rPr>
                <w:rFonts w:ascii="Arial" w:hAnsi="Arial" w:cs="Arial"/>
                <w:sz w:val="20"/>
                <w:szCs w:val="20"/>
              </w:rPr>
              <w:t>two</w:t>
            </w:r>
            <w:r w:rsidRPr="00B9369E">
              <w:rPr>
                <w:rFonts w:ascii="Arial" w:hAnsi="Arial" w:cs="Arial"/>
                <w:sz w:val="20"/>
                <w:szCs w:val="20"/>
              </w:rPr>
              <w:t xml:space="preserve"> years for 12 months FTE</w:t>
            </w:r>
          </w:p>
          <w:p w:rsidR="00031BA2" w:rsidRPr="00B9369E" w:rsidRDefault="00031BA2" w:rsidP="00D30EFB">
            <w:pPr>
              <w:pStyle w:val="ListParagraph"/>
              <w:numPr>
                <w:ilvl w:val="0"/>
                <w:numId w:val="4"/>
              </w:numPr>
              <w:spacing w:before="200"/>
              <w:rPr>
                <w:rFonts w:ascii="Arial" w:hAnsi="Arial" w:cs="Arial"/>
                <w:sz w:val="20"/>
                <w:szCs w:val="20"/>
              </w:rPr>
            </w:pPr>
            <w:r w:rsidRPr="00B9369E">
              <w:rPr>
                <w:rFonts w:ascii="Arial" w:hAnsi="Arial" w:cs="Arial"/>
                <w:sz w:val="20"/>
                <w:szCs w:val="20"/>
              </w:rPr>
              <w:t xml:space="preserve">Partially comparable - Up to </w:t>
            </w:r>
            <w:r w:rsidR="00D30EFB" w:rsidRPr="00B9369E">
              <w:rPr>
                <w:rFonts w:ascii="Arial" w:hAnsi="Arial" w:cs="Arial"/>
                <w:sz w:val="20"/>
                <w:szCs w:val="20"/>
              </w:rPr>
              <w:t>four</w:t>
            </w:r>
            <w:r w:rsidRPr="00B9369E">
              <w:rPr>
                <w:rFonts w:ascii="Arial" w:hAnsi="Arial" w:cs="Arial"/>
                <w:sz w:val="20"/>
                <w:szCs w:val="20"/>
              </w:rPr>
              <w:t xml:space="preserve"> years for 24 months FTE</w:t>
            </w:r>
          </w:p>
          <w:p w:rsidR="00B43A62" w:rsidRDefault="00031BA2" w:rsidP="00031BA2">
            <w:pPr>
              <w:spacing w:before="200" w:after="200"/>
              <w:rPr>
                <w:rFonts w:ascii="Arial" w:hAnsi="Arial" w:cs="Arial"/>
                <w:sz w:val="20"/>
                <w:szCs w:val="20"/>
              </w:rPr>
            </w:pPr>
            <w:r w:rsidRPr="00B9369E">
              <w:rPr>
                <w:rFonts w:ascii="Arial" w:hAnsi="Arial" w:cs="Arial"/>
                <w:sz w:val="20"/>
                <w:szCs w:val="20"/>
              </w:rPr>
              <w:t xml:space="preserve">These timeframes accord with the periods for peer review and supervision that can be set by the colleges. </w:t>
            </w:r>
          </w:p>
          <w:p w:rsidR="00B43A62" w:rsidRDefault="00031BA2" w:rsidP="00031BA2">
            <w:pPr>
              <w:spacing w:before="200" w:after="200"/>
              <w:rPr>
                <w:rFonts w:ascii="Arial" w:hAnsi="Arial" w:cs="Arial"/>
                <w:sz w:val="20"/>
                <w:szCs w:val="20"/>
              </w:rPr>
            </w:pPr>
            <w:r w:rsidRPr="00B9369E">
              <w:rPr>
                <w:rFonts w:ascii="Arial" w:hAnsi="Arial" w:cs="Arial"/>
                <w:sz w:val="20"/>
                <w:szCs w:val="20"/>
              </w:rPr>
              <w:t xml:space="preserve">We consider this a useful measure to check whether the timeframes are also being adhered to in practice. </w:t>
            </w:r>
          </w:p>
          <w:p w:rsidR="00031BA2" w:rsidRPr="00B9369E" w:rsidRDefault="00031BA2" w:rsidP="00031BA2">
            <w:pPr>
              <w:spacing w:before="200" w:after="200"/>
              <w:rPr>
                <w:rFonts w:ascii="Arial" w:hAnsi="Arial" w:cs="Arial"/>
                <w:b/>
                <w:sz w:val="20"/>
                <w:szCs w:val="20"/>
              </w:rPr>
            </w:pPr>
            <w:r w:rsidRPr="00B9369E">
              <w:rPr>
                <w:rFonts w:ascii="Arial" w:hAnsi="Arial" w:cs="Arial"/>
                <w:sz w:val="20"/>
                <w:szCs w:val="20"/>
              </w:rPr>
              <w:t>We think that it would be useful to track this information in real time, so if an applicant is spending longer than the set timeframe this can be considered at the time.</w:t>
            </w:r>
          </w:p>
        </w:tc>
        <w:tc>
          <w:tcPr>
            <w:tcW w:w="4961" w:type="dxa"/>
            <w:tcBorders>
              <w:top w:val="single" w:sz="4" w:space="0" w:color="00B4E3" w:themeColor="accent1"/>
              <w:left w:val="nil"/>
              <w:bottom w:val="single" w:sz="4" w:space="0" w:color="00B4E3" w:themeColor="accent1"/>
              <w:right w:val="single" w:sz="4" w:space="0" w:color="00B4E3" w:themeColor="accent1"/>
            </w:tcBorders>
            <w:shd w:val="clear" w:color="auto" w:fill="auto"/>
          </w:tcPr>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notes that the </w:t>
            </w:r>
            <w:r w:rsidRPr="00B9369E">
              <w:rPr>
                <w:rFonts w:ascii="Arial" w:hAnsi="Arial" w:cs="Arial"/>
                <w:i/>
                <w:sz w:val="20"/>
                <w:szCs w:val="20"/>
              </w:rPr>
              <w:t>Good practice guidelines</w:t>
            </w:r>
            <w:r w:rsidRPr="00B9369E">
              <w:rPr>
                <w:rFonts w:ascii="Arial" w:hAnsi="Arial" w:cs="Arial"/>
                <w:sz w:val="20"/>
                <w:szCs w:val="20"/>
              </w:rPr>
              <w:t xml:space="preserve"> require colleges to have a process for monitoring IMGs’ progress.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Board will refer this recommendation to the working group to review whether the timeframes are appropriate, noting that they reduce flexibility for IMGs. </w:t>
            </w:r>
          </w:p>
          <w:p w:rsidR="00031BA2" w:rsidRPr="00B9369E" w:rsidRDefault="00031BA2" w:rsidP="00031BA2">
            <w:pPr>
              <w:spacing w:before="200" w:after="200"/>
              <w:rPr>
                <w:rFonts w:ascii="Arial" w:hAnsi="Arial" w:cs="Arial"/>
                <w:sz w:val="20"/>
                <w:szCs w:val="20"/>
              </w:rPr>
            </w:pPr>
            <w:r w:rsidRPr="00B9369E">
              <w:rPr>
                <w:rFonts w:ascii="Arial" w:hAnsi="Arial" w:cs="Arial"/>
                <w:sz w:val="20"/>
                <w:szCs w:val="20"/>
              </w:rPr>
              <w:t xml:space="preserve">The wording of the </w:t>
            </w:r>
            <w:r w:rsidRPr="00B9369E">
              <w:rPr>
                <w:rFonts w:ascii="Arial" w:hAnsi="Arial" w:cs="Arial"/>
                <w:i/>
                <w:sz w:val="20"/>
                <w:szCs w:val="20"/>
              </w:rPr>
              <w:t>Good practice guidelines</w:t>
            </w:r>
            <w:r w:rsidRPr="00B9369E">
              <w:rPr>
                <w:rFonts w:ascii="Arial" w:hAnsi="Arial" w:cs="Arial"/>
                <w:sz w:val="20"/>
                <w:szCs w:val="20"/>
              </w:rPr>
              <w:t xml:space="preserve"> will also be reviewed to ensure that the requirements for tracking progress against timeframes are clearer.</w:t>
            </w:r>
          </w:p>
        </w:tc>
      </w:tr>
    </w:tbl>
    <w:p w:rsidR="00D37647" w:rsidRPr="00B9369E" w:rsidRDefault="00D37647" w:rsidP="00031BA2">
      <w:pPr>
        <w:spacing w:before="200"/>
        <w:rPr>
          <w:rFonts w:ascii="Arial" w:hAnsi="Arial" w:cs="Arial"/>
          <w:sz w:val="20"/>
          <w:szCs w:val="20"/>
        </w:rPr>
      </w:pPr>
    </w:p>
    <w:sectPr w:rsidR="00D37647" w:rsidRPr="00B9369E" w:rsidSect="00514107">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63" w:rsidRDefault="000D5163" w:rsidP="00BD7E2F">
      <w:pPr>
        <w:spacing w:after="0" w:line="240" w:lineRule="auto"/>
      </w:pPr>
      <w:r>
        <w:separator/>
      </w:r>
    </w:p>
  </w:endnote>
  <w:endnote w:type="continuationSeparator" w:id="0">
    <w:p w:rsidR="000D5163" w:rsidRDefault="000D5163" w:rsidP="00BD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DIN-Regular">
    <w:altName w:val="Courier New"/>
    <w:charset w:val="00"/>
    <w:family w:val="swiss"/>
    <w:pitch w:val="variable"/>
    <w:sig w:usb0="00000001"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Bold">
    <w:altName w:val="Arial"/>
    <w:panose1 w:val="00000000000000000000"/>
    <w:charset w:val="00"/>
    <w:family w:val="swiss"/>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07" w:rsidRPr="00514107" w:rsidRDefault="00514107" w:rsidP="00514107">
    <w:pPr>
      <w:pStyle w:val="Footer"/>
      <w:rPr>
        <w:sz w:val="16"/>
        <w:lang w:val="en-AU"/>
      </w:rPr>
    </w:pPr>
    <w:r w:rsidRPr="00514107">
      <w:rPr>
        <w:rFonts w:asciiTheme="majorHAnsi" w:hAnsiTheme="majorHAnsi"/>
        <w:color w:val="54575A" w:themeColor="text1"/>
        <w:sz w:val="16"/>
        <w:lang w:val="en-AU"/>
      </w:rPr>
      <w:t xml:space="preserve">Response to the </w:t>
    </w:r>
    <w:r w:rsidRPr="00514107">
      <w:rPr>
        <w:rFonts w:asciiTheme="majorHAnsi" w:hAnsiTheme="majorHAnsi"/>
        <w:i/>
        <w:color w:val="54575A" w:themeColor="text1"/>
        <w:sz w:val="16"/>
        <w:lang w:val="en-AU"/>
      </w:rPr>
      <w:t>External review of the specialist medical colleges’ performance</w:t>
    </w:r>
    <w:r>
      <w:rPr>
        <w:rFonts w:asciiTheme="majorHAnsi" w:hAnsiTheme="majorHAnsi"/>
        <w:i/>
        <w:color w:val="54575A" w:themeColor="text1"/>
        <w:sz w:val="16"/>
        <w:lang w:val="en-AU"/>
      </w:rPr>
      <w:t xml:space="preserve"> </w:t>
    </w:r>
    <w:r w:rsidRPr="00514107">
      <w:rPr>
        <w:color w:val="54575A" w:themeColor="text1"/>
        <w:sz w:val="16"/>
        <w:lang w:val="en-AU"/>
      </w:rPr>
      <w:t>| Medical Board of Australia</w:t>
    </w:r>
    <w:r>
      <w:rPr>
        <w:rFonts w:asciiTheme="majorHAnsi" w:hAnsiTheme="majorHAnsi"/>
        <w:i/>
        <w:color w:val="54575A" w:themeColor="text1"/>
        <w:sz w:val="16"/>
        <w:lang w:val="en-AU"/>
      </w:rPr>
      <w:t xml:space="preserve"> </w:t>
    </w:r>
    <w:r w:rsidRPr="00514107">
      <w:rPr>
        <w:color w:val="54575A" w:themeColor="text1"/>
        <w:sz w:val="16"/>
        <w:lang w:val="en-AU"/>
      </w:rPr>
      <w:t xml:space="preserve">| </w:t>
    </w:r>
    <w:r>
      <w:rPr>
        <w:color w:val="54575A" w:themeColor="text1"/>
        <w:sz w:val="16"/>
        <w:lang w:val="en-AU"/>
      </w:rPr>
      <w:t>April 2018</w:t>
    </w:r>
    <w:r>
      <w:rPr>
        <w:sz w:val="16"/>
        <w:lang w:val="en-AU"/>
      </w:rPr>
      <w:t xml:space="preserve"> </w:t>
    </w:r>
    <w:r w:rsidRPr="00514107">
      <w:rPr>
        <w:sz w:val="16"/>
        <w:lang w:val="en-AU"/>
      </w:rPr>
      <w:t xml:space="preserve"> </w:t>
    </w:r>
  </w:p>
  <w:p w:rsidR="00514107" w:rsidRDefault="0051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63" w:rsidRDefault="000D5163">
    <w:pPr>
      <w:pStyle w:val="Footer"/>
      <w:jc w:val="right"/>
    </w:pPr>
  </w:p>
  <w:p w:rsidR="00514107" w:rsidRDefault="00554BFF" w:rsidP="00514107">
    <w:pPr>
      <w:pStyle w:val="Footer"/>
      <w:rPr>
        <w:rFonts w:asciiTheme="majorHAnsi" w:hAnsiTheme="majorHAnsi"/>
        <w:color w:val="54575A" w:themeColor="text1"/>
        <w:sz w:val="16"/>
        <w:lang w:val="en-AU"/>
      </w:rPr>
    </w:pPr>
    <w:r>
      <w:rPr>
        <w:rFonts w:asciiTheme="majorHAnsi" w:hAnsiTheme="majorHAnsi"/>
        <w:noProof/>
        <w:color w:val="54575A" w:themeColor="text1"/>
        <w:sz w:val="16"/>
        <w:lang w:val="en-AU" w:eastAsia="en-AU"/>
      </w:rPr>
      <w:pict w14:anchorId="657B3B01">
        <v:shapetype id="_x0000_t202" coordsize="21600,21600" o:spt="202" path="m,l,21600r21600,l21600,xe">
          <v:stroke joinstyle="miter"/>
          <v:path gradientshapeok="t" o:connecttype="rect"/>
        </v:shapetype>
        <v:shape id="_x0000_s6145" type="#_x0000_t202" style="position:absolute;margin-left:-20.15pt;margin-top:-.2pt;width:24.45pt;height:32.1pt;z-index:251665408" stroked="f">
          <v:textbox style="mso-next-textbox:#_x0000_s6145">
            <w:txbxContent>
              <w:p w:rsidR="00514107" w:rsidRPr="00514107" w:rsidRDefault="001E51AC">
                <w:pPr>
                  <w:rPr>
                    <w:rFonts w:asciiTheme="majorHAnsi" w:hAnsiTheme="majorHAnsi"/>
                    <w:color w:val="54575A" w:themeColor="text1"/>
                    <w:sz w:val="36"/>
                  </w:rPr>
                </w:pPr>
                <w:r w:rsidRPr="00514107">
                  <w:rPr>
                    <w:rFonts w:asciiTheme="majorHAnsi" w:hAnsiTheme="majorHAnsi"/>
                    <w:color w:val="54575A" w:themeColor="text1"/>
                    <w:sz w:val="36"/>
                  </w:rPr>
                  <w:fldChar w:fldCharType="begin"/>
                </w:r>
                <w:r w:rsidR="00514107" w:rsidRPr="00514107">
                  <w:rPr>
                    <w:rFonts w:asciiTheme="majorHAnsi" w:hAnsiTheme="majorHAnsi"/>
                    <w:color w:val="54575A" w:themeColor="text1"/>
                    <w:sz w:val="36"/>
                  </w:rPr>
                  <w:instrText xml:space="preserve"> PAGE   \* MERGEFORMAT </w:instrText>
                </w:r>
                <w:r w:rsidRPr="00514107">
                  <w:rPr>
                    <w:rFonts w:asciiTheme="majorHAnsi" w:hAnsiTheme="majorHAnsi"/>
                    <w:color w:val="54575A" w:themeColor="text1"/>
                    <w:sz w:val="36"/>
                  </w:rPr>
                  <w:fldChar w:fldCharType="separate"/>
                </w:r>
                <w:r w:rsidR="00554BFF">
                  <w:rPr>
                    <w:rFonts w:asciiTheme="majorHAnsi" w:hAnsiTheme="majorHAnsi"/>
                    <w:noProof/>
                    <w:color w:val="54575A" w:themeColor="text1"/>
                    <w:sz w:val="36"/>
                  </w:rPr>
                  <w:t>3</w:t>
                </w:r>
                <w:r w:rsidRPr="00514107">
                  <w:rPr>
                    <w:rFonts w:asciiTheme="majorHAnsi" w:hAnsiTheme="majorHAnsi"/>
                    <w:noProof/>
                    <w:color w:val="54575A" w:themeColor="text1"/>
                    <w:sz w:val="36"/>
                  </w:rPr>
                  <w:fldChar w:fldCharType="end"/>
                </w:r>
              </w:p>
            </w:txbxContent>
          </v:textbox>
        </v:shape>
      </w:pict>
    </w:r>
  </w:p>
  <w:p w:rsidR="000D5163" w:rsidRPr="00B9369E" w:rsidRDefault="00514107" w:rsidP="00514107">
    <w:pPr>
      <w:pStyle w:val="Footer"/>
      <w:ind w:left="142"/>
      <w:rPr>
        <w:rFonts w:ascii="Arial" w:hAnsi="Arial" w:cs="Arial"/>
        <w:sz w:val="16"/>
        <w:lang w:val="en-AU"/>
      </w:rPr>
    </w:pPr>
    <w:r w:rsidRPr="00B9369E">
      <w:rPr>
        <w:rFonts w:ascii="Arial" w:hAnsi="Arial" w:cs="Arial"/>
        <w:color w:val="54575A" w:themeColor="text1"/>
        <w:sz w:val="16"/>
        <w:lang w:val="en-AU"/>
      </w:rPr>
      <w:t xml:space="preserve">Response to the </w:t>
    </w:r>
    <w:r w:rsidRPr="00B9369E">
      <w:rPr>
        <w:rFonts w:ascii="Arial" w:hAnsi="Arial" w:cs="Arial"/>
        <w:i/>
        <w:color w:val="54575A" w:themeColor="text1"/>
        <w:sz w:val="16"/>
        <w:lang w:val="en-AU"/>
      </w:rPr>
      <w:t xml:space="preserve">External review of the specialist medical colleges’ performance </w:t>
    </w:r>
    <w:r w:rsidRPr="00B9369E">
      <w:rPr>
        <w:rFonts w:ascii="Arial" w:hAnsi="Arial" w:cs="Arial"/>
        <w:color w:val="54575A" w:themeColor="text1"/>
        <w:sz w:val="16"/>
        <w:lang w:val="en-AU"/>
      </w:rPr>
      <w:t>| Medical Board of Australia</w:t>
    </w:r>
    <w:r w:rsidRPr="00B9369E">
      <w:rPr>
        <w:rFonts w:ascii="Arial" w:hAnsi="Arial" w:cs="Arial"/>
        <w:i/>
        <w:color w:val="54575A" w:themeColor="text1"/>
        <w:sz w:val="16"/>
        <w:lang w:val="en-AU"/>
      </w:rPr>
      <w:t xml:space="preserve"> </w:t>
    </w:r>
    <w:r w:rsidRPr="00B9369E">
      <w:rPr>
        <w:rFonts w:ascii="Arial" w:hAnsi="Arial" w:cs="Arial"/>
        <w:color w:val="54575A" w:themeColor="text1"/>
        <w:sz w:val="16"/>
        <w:lang w:val="en-AU"/>
      </w:rPr>
      <w:t>| April 2018</w:t>
    </w:r>
    <w:r w:rsidRPr="00B9369E">
      <w:rPr>
        <w:rFonts w:ascii="Arial" w:hAnsi="Arial" w:cs="Arial"/>
        <w:sz w:val="16"/>
        <w:lang w:val="en-AU"/>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07" w:rsidRPr="00795355" w:rsidRDefault="00514107">
    <w:pPr>
      <w:pStyle w:val="Footer"/>
      <w:rPr>
        <w:rFonts w:ascii="Arial" w:hAnsi="Arial" w:cs="Arial"/>
        <w:sz w:val="16"/>
        <w:lang w:val="en-AU"/>
      </w:rPr>
    </w:pPr>
    <w:r w:rsidRPr="00795355">
      <w:rPr>
        <w:rFonts w:ascii="Arial" w:hAnsi="Arial" w:cs="Arial"/>
        <w:color w:val="54575A" w:themeColor="text1"/>
        <w:sz w:val="16"/>
        <w:lang w:val="en-AU"/>
      </w:rPr>
      <w:t xml:space="preserve">Response to the </w:t>
    </w:r>
    <w:r w:rsidRPr="00795355">
      <w:rPr>
        <w:rFonts w:ascii="Arial" w:hAnsi="Arial" w:cs="Arial"/>
        <w:i/>
        <w:color w:val="54575A" w:themeColor="text1"/>
        <w:sz w:val="16"/>
        <w:lang w:val="en-AU"/>
      </w:rPr>
      <w:t xml:space="preserve">External review of the specialist medical colleges’ performance </w:t>
    </w:r>
    <w:r w:rsidRPr="00795355">
      <w:rPr>
        <w:rFonts w:ascii="Arial" w:hAnsi="Arial" w:cs="Arial"/>
        <w:color w:val="54575A" w:themeColor="text1"/>
        <w:sz w:val="16"/>
        <w:lang w:val="en-AU"/>
      </w:rPr>
      <w:t>| Medical Board of Australia</w:t>
    </w:r>
    <w:r w:rsidRPr="00795355">
      <w:rPr>
        <w:rFonts w:ascii="Arial" w:hAnsi="Arial" w:cs="Arial"/>
        <w:i/>
        <w:color w:val="54575A" w:themeColor="text1"/>
        <w:sz w:val="16"/>
        <w:lang w:val="en-AU"/>
      </w:rPr>
      <w:t xml:space="preserve"> </w:t>
    </w:r>
    <w:r w:rsidRPr="00795355">
      <w:rPr>
        <w:rFonts w:ascii="Arial" w:hAnsi="Arial" w:cs="Arial"/>
        <w:color w:val="54575A" w:themeColor="text1"/>
        <w:sz w:val="16"/>
        <w:lang w:val="en-AU"/>
      </w:rPr>
      <w:t>| April 2018</w:t>
    </w:r>
    <w:r w:rsidRPr="00795355">
      <w:rPr>
        <w:rFonts w:ascii="Arial" w:hAnsi="Arial" w:cs="Arial"/>
        <w:sz w:val="16"/>
        <w:lang w:val="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63" w:rsidRDefault="000D5163" w:rsidP="00BD7E2F">
      <w:pPr>
        <w:spacing w:after="0" w:line="240" w:lineRule="auto"/>
      </w:pPr>
      <w:r>
        <w:separator/>
      </w:r>
    </w:p>
  </w:footnote>
  <w:footnote w:type="continuationSeparator" w:id="0">
    <w:p w:rsidR="000D5163" w:rsidRDefault="000D5163" w:rsidP="00BD7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45" w:rsidRDefault="00705DB2">
    <w:pPr>
      <w:pStyle w:val="Header"/>
    </w:pPr>
    <w:r>
      <w:rPr>
        <w:noProof/>
        <w:lang w:val="en-AU" w:eastAsia="en-AU"/>
      </w:rPr>
      <w:drawing>
        <wp:anchor distT="0" distB="0" distL="114300" distR="114300" simplePos="0" relativeHeight="251664384" behindDoc="0" locked="0" layoutInCell="1" allowOverlap="1">
          <wp:simplePos x="0" y="0"/>
          <wp:positionH relativeFrom="column">
            <wp:posOffset>4742121</wp:posOffset>
          </wp:positionH>
          <wp:positionV relativeFrom="paragraph">
            <wp:posOffset>18253</wp:posOffset>
          </wp:positionV>
          <wp:extent cx="1637413" cy="1637413"/>
          <wp:effectExtent l="0" t="0" r="0" b="0"/>
          <wp:wrapNone/>
          <wp:docPr id="3" name="Picture 3" descr="Medic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kdurie\My Documents\My Pictures\MBA - JPG 400 x 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9421" cy="163942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C6350"/>
    <w:multiLevelType w:val="hybridMultilevel"/>
    <w:tmpl w:val="3DBCC2DA"/>
    <w:lvl w:ilvl="0" w:tplc="32FC4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7684D"/>
    <w:multiLevelType w:val="hybridMultilevel"/>
    <w:tmpl w:val="57D8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2210C6"/>
    <w:multiLevelType w:val="hybridMultilevel"/>
    <w:tmpl w:val="8366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51767"/>
    <w:multiLevelType w:val="hybridMultilevel"/>
    <w:tmpl w:val="0F72F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7">
      <o:colormenu v:ext="edit" strokecolor="non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441D9E"/>
    <w:rsid w:val="00002913"/>
    <w:rsid w:val="00010F0A"/>
    <w:rsid w:val="00011A6A"/>
    <w:rsid w:val="00013249"/>
    <w:rsid w:val="00031BA2"/>
    <w:rsid w:val="00062327"/>
    <w:rsid w:val="000673FC"/>
    <w:rsid w:val="00074D13"/>
    <w:rsid w:val="000943EA"/>
    <w:rsid w:val="000963E3"/>
    <w:rsid w:val="000D5163"/>
    <w:rsid w:val="00100C17"/>
    <w:rsid w:val="00161E09"/>
    <w:rsid w:val="00172B1A"/>
    <w:rsid w:val="00184CA0"/>
    <w:rsid w:val="001C7B97"/>
    <w:rsid w:val="001D116D"/>
    <w:rsid w:val="001E51AC"/>
    <w:rsid w:val="001F07CA"/>
    <w:rsid w:val="001F2708"/>
    <w:rsid w:val="001F5399"/>
    <w:rsid w:val="001F7EAB"/>
    <w:rsid w:val="00211C1D"/>
    <w:rsid w:val="00224FEB"/>
    <w:rsid w:val="002311AA"/>
    <w:rsid w:val="002526D8"/>
    <w:rsid w:val="00267FC3"/>
    <w:rsid w:val="002D6815"/>
    <w:rsid w:val="002F0F46"/>
    <w:rsid w:val="002F3609"/>
    <w:rsid w:val="002F4292"/>
    <w:rsid w:val="002F6DF8"/>
    <w:rsid w:val="002F7B48"/>
    <w:rsid w:val="003010F9"/>
    <w:rsid w:val="00334002"/>
    <w:rsid w:val="00340210"/>
    <w:rsid w:val="00352DDD"/>
    <w:rsid w:val="00353949"/>
    <w:rsid w:val="0037290C"/>
    <w:rsid w:val="00375B84"/>
    <w:rsid w:val="003A12EA"/>
    <w:rsid w:val="003B6CD1"/>
    <w:rsid w:val="003D2E2D"/>
    <w:rsid w:val="003D5196"/>
    <w:rsid w:val="00441D9E"/>
    <w:rsid w:val="004935E1"/>
    <w:rsid w:val="004955A9"/>
    <w:rsid w:val="004B727B"/>
    <w:rsid w:val="004B7704"/>
    <w:rsid w:val="004F2027"/>
    <w:rsid w:val="004F5644"/>
    <w:rsid w:val="00500543"/>
    <w:rsid w:val="0050653E"/>
    <w:rsid w:val="00510F49"/>
    <w:rsid w:val="00512868"/>
    <w:rsid w:val="00514107"/>
    <w:rsid w:val="00521918"/>
    <w:rsid w:val="00554BFF"/>
    <w:rsid w:val="0056448E"/>
    <w:rsid w:val="005851E5"/>
    <w:rsid w:val="005B1329"/>
    <w:rsid w:val="005C0979"/>
    <w:rsid w:val="005C6828"/>
    <w:rsid w:val="005D6A35"/>
    <w:rsid w:val="005F6B19"/>
    <w:rsid w:val="00604661"/>
    <w:rsid w:val="00660A3A"/>
    <w:rsid w:val="00674CFE"/>
    <w:rsid w:val="00675EC0"/>
    <w:rsid w:val="006873BD"/>
    <w:rsid w:val="006A06C0"/>
    <w:rsid w:val="006F40AA"/>
    <w:rsid w:val="00705DB2"/>
    <w:rsid w:val="00714865"/>
    <w:rsid w:val="00735B62"/>
    <w:rsid w:val="00740C01"/>
    <w:rsid w:val="007569A4"/>
    <w:rsid w:val="00771C71"/>
    <w:rsid w:val="00790ED4"/>
    <w:rsid w:val="00791546"/>
    <w:rsid w:val="00795355"/>
    <w:rsid w:val="007A3741"/>
    <w:rsid w:val="007A631F"/>
    <w:rsid w:val="007B5C0C"/>
    <w:rsid w:val="007D2A4D"/>
    <w:rsid w:val="007D672B"/>
    <w:rsid w:val="00824AD7"/>
    <w:rsid w:val="008407A5"/>
    <w:rsid w:val="00872A50"/>
    <w:rsid w:val="008734E8"/>
    <w:rsid w:val="008B373F"/>
    <w:rsid w:val="008D50B2"/>
    <w:rsid w:val="00904CE4"/>
    <w:rsid w:val="00941D5F"/>
    <w:rsid w:val="00993C77"/>
    <w:rsid w:val="009C282E"/>
    <w:rsid w:val="009D702C"/>
    <w:rsid w:val="009E0A9B"/>
    <w:rsid w:val="009E4711"/>
    <w:rsid w:val="009E60EE"/>
    <w:rsid w:val="009F2CDE"/>
    <w:rsid w:val="00A00D37"/>
    <w:rsid w:val="00A15146"/>
    <w:rsid w:val="00A22BEF"/>
    <w:rsid w:val="00A30299"/>
    <w:rsid w:val="00A55FA0"/>
    <w:rsid w:val="00A7760B"/>
    <w:rsid w:val="00A86A95"/>
    <w:rsid w:val="00AA4630"/>
    <w:rsid w:val="00AB32CD"/>
    <w:rsid w:val="00AB4649"/>
    <w:rsid w:val="00AD0D71"/>
    <w:rsid w:val="00AE3A70"/>
    <w:rsid w:val="00AF5E8B"/>
    <w:rsid w:val="00B02973"/>
    <w:rsid w:val="00B05415"/>
    <w:rsid w:val="00B36DA4"/>
    <w:rsid w:val="00B43A62"/>
    <w:rsid w:val="00B55D74"/>
    <w:rsid w:val="00B644FE"/>
    <w:rsid w:val="00B71F24"/>
    <w:rsid w:val="00B9019D"/>
    <w:rsid w:val="00B9369E"/>
    <w:rsid w:val="00BB1C09"/>
    <w:rsid w:val="00BB5845"/>
    <w:rsid w:val="00BD23DE"/>
    <w:rsid w:val="00BD5726"/>
    <w:rsid w:val="00BD7E2F"/>
    <w:rsid w:val="00C36517"/>
    <w:rsid w:val="00C438E4"/>
    <w:rsid w:val="00C61C5D"/>
    <w:rsid w:val="00C82B29"/>
    <w:rsid w:val="00CD2525"/>
    <w:rsid w:val="00D30EFB"/>
    <w:rsid w:val="00D37647"/>
    <w:rsid w:val="00D46744"/>
    <w:rsid w:val="00D678A1"/>
    <w:rsid w:val="00D77F07"/>
    <w:rsid w:val="00D85E4F"/>
    <w:rsid w:val="00D93AC4"/>
    <w:rsid w:val="00DA48CD"/>
    <w:rsid w:val="00DB2FA2"/>
    <w:rsid w:val="00DD30EB"/>
    <w:rsid w:val="00DF104E"/>
    <w:rsid w:val="00DF5DBC"/>
    <w:rsid w:val="00E05A98"/>
    <w:rsid w:val="00E206ED"/>
    <w:rsid w:val="00E23898"/>
    <w:rsid w:val="00E34BD5"/>
    <w:rsid w:val="00E44998"/>
    <w:rsid w:val="00E52F44"/>
    <w:rsid w:val="00E60B42"/>
    <w:rsid w:val="00E65C31"/>
    <w:rsid w:val="00E669DF"/>
    <w:rsid w:val="00E82496"/>
    <w:rsid w:val="00E92E3B"/>
    <w:rsid w:val="00EA29F0"/>
    <w:rsid w:val="00EB6ED4"/>
    <w:rsid w:val="00ED03FD"/>
    <w:rsid w:val="00EE6551"/>
    <w:rsid w:val="00F033F3"/>
    <w:rsid w:val="00F107AF"/>
    <w:rsid w:val="00F1130F"/>
    <w:rsid w:val="00F13124"/>
    <w:rsid w:val="00F23226"/>
    <w:rsid w:val="00F278C1"/>
    <w:rsid w:val="00F33154"/>
    <w:rsid w:val="00F43357"/>
    <w:rsid w:val="00F6772D"/>
    <w:rsid w:val="00F77A49"/>
    <w:rsid w:val="00F81056"/>
    <w:rsid w:val="00FA12E0"/>
    <w:rsid w:val="00FB2AC3"/>
    <w:rsid w:val="00FE386F"/>
    <w:rsid w:val="00FE7246"/>
    <w:rsid w:val="00FF440C"/>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colormenu v:ext="edit" strokecolor="none"/>
    </o:shapedefaults>
    <o:shapelayout v:ext="edit">
      <o:idmap v:ext="edit" data="1"/>
    </o:shapelayout>
  </w:shapeDefaults>
  <w:decimalSymbol w:val="."/>
  <w:listSeparator w:val=","/>
  <w15:docId w15:val="{FAAD436F-449F-4BB1-9B56-F963A28D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D5F"/>
    <w:rPr>
      <w:color w:val="0000FF" w:themeColor="hyperlink"/>
      <w:u w:val="single"/>
    </w:rPr>
  </w:style>
  <w:style w:type="paragraph" w:styleId="ListParagraph">
    <w:name w:val="List Paragraph"/>
    <w:basedOn w:val="Normal"/>
    <w:uiPriority w:val="34"/>
    <w:qFormat/>
    <w:rsid w:val="006F40AA"/>
    <w:pPr>
      <w:ind w:left="720"/>
      <w:contextualSpacing/>
    </w:pPr>
  </w:style>
  <w:style w:type="paragraph" w:customStyle="1" w:styleId="Default">
    <w:name w:val="Default"/>
    <w:rsid w:val="00824AD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6448E"/>
    <w:rPr>
      <w:sz w:val="16"/>
      <w:szCs w:val="16"/>
    </w:rPr>
  </w:style>
  <w:style w:type="paragraph" w:styleId="CommentText">
    <w:name w:val="annotation text"/>
    <w:basedOn w:val="Normal"/>
    <w:link w:val="CommentTextChar"/>
    <w:uiPriority w:val="99"/>
    <w:semiHidden/>
    <w:unhideWhenUsed/>
    <w:rsid w:val="0056448E"/>
    <w:pPr>
      <w:spacing w:line="240" w:lineRule="auto"/>
    </w:pPr>
    <w:rPr>
      <w:sz w:val="20"/>
      <w:szCs w:val="20"/>
    </w:rPr>
  </w:style>
  <w:style w:type="character" w:customStyle="1" w:styleId="CommentTextChar">
    <w:name w:val="Comment Text Char"/>
    <w:basedOn w:val="DefaultParagraphFont"/>
    <w:link w:val="CommentText"/>
    <w:uiPriority w:val="99"/>
    <w:semiHidden/>
    <w:rsid w:val="0056448E"/>
    <w:rPr>
      <w:sz w:val="20"/>
      <w:szCs w:val="20"/>
    </w:rPr>
  </w:style>
  <w:style w:type="paragraph" w:styleId="CommentSubject">
    <w:name w:val="annotation subject"/>
    <w:basedOn w:val="CommentText"/>
    <w:next w:val="CommentText"/>
    <w:link w:val="CommentSubjectChar"/>
    <w:uiPriority w:val="99"/>
    <w:semiHidden/>
    <w:unhideWhenUsed/>
    <w:rsid w:val="0056448E"/>
    <w:rPr>
      <w:b/>
      <w:bCs/>
    </w:rPr>
  </w:style>
  <w:style w:type="character" w:customStyle="1" w:styleId="CommentSubjectChar">
    <w:name w:val="Comment Subject Char"/>
    <w:basedOn w:val="CommentTextChar"/>
    <w:link w:val="CommentSubject"/>
    <w:uiPriority w:val="99"/>
    <w:semiHidden/>
    <w:rsid w:val="0056448E"/>
    <w:rPr>
      <w:b/>
      <w:bCs/>
      <w:sz w:val="20"/>
      <w:szCs w:val="20"/>
    </w:rPr>
  </w:style>
  <w:style w:type="paragraph" w:styleId="BalloonText">
    <w:name w:val="Balloon Text"/>
    <w:basedOn w:val="Normal"/>
    <w:link w:val="BalloonTextChar"/>
    <w:uiPriority w:val="99"/>
    <w:semiHidden/>
    <w:unhideWhenUsed/>
    <w:rsid w:val="0056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8E"/>
    <w:rPr>
      <w:rFonts w:ascii="Tahoma" w:hAnsi="Tahoma" w:cs="Tahoma"/>
      <w:sz w:val="16"/>
      <w:szCs w:val="16"/>
    </w:rPr>
  </w:style>
  <w:style w:type="paragraph" w:styleId="Header">
    <w:name w:val="header"/>
    <w:basedOn w:val="Normal"/>
    <w:link w:val="HeaderChar"/>
    <w:uiPriority w:val="99"/>
    <w:unhideWhenUsed/>
    <w:rsid w:val="00BD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2F"/>
  </w:style>
  <w:style w:type="paragraph" w:styleId="Footer">
    <w:name w:val="footer"/>
    <w:basedOn w:val="Normal"/>
    <w:link w:val="FooterChar"/>
    <w:uiPriority w:val="99"/>
    <w:unhideWhenUsed/>
    <w:rsid w:val="00BD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News/Statistic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wd.health.gov.au/publicatio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rgbClr val="54575A"/>
      </a:dk1>
      <a:lt1>
        <a:sysClr val="window" lastClr="FFFFFF"/>
      </a:lt1>
      <a:dk2>
        <a:srgbClr val="0B70B3"/>
      </a:dk2>
      <a:lt2>
        <a:srgbClr val="EEECE1"/>
      </a:lt2>
      <a:accent1>
        <a:srgbClr val="00B4E3"/>
      </a:accent1>
      <a:accent2>
        <a:srgbClr val="00B1AB"/>
      </a:accent2>
      <a:accent3>
        <a:srgbClr val="FBBD39"/>
      </a:accent3>
      <a:accent4>
        <a:srgbClr val="EA843F"/>
      </a:accent4>
      <a:accent5>
        <a:srgbClr val="C7374C"/>
      </a:accent5>
      <a:accent6>
        <a:srgbClr val="6F3B5C"/>
      </a:accent6>
      <a:hlink>
        <a:srgbClr val="0000FF"/>
      </a:hlink>
      <a:folHlink>
        <a:srgbClr val="800080"/>
      </a:folHlink>
    </a:clrScheme>
    <a:fontScheme name="DIN">
      <a:majorFont>
        <a:latin typeface="DIN-Bold"/>
        <a:ea typeface="Helvetica Neue"/>
        <a:cs typeface="Helvetica Neue"/>
      </a:majorFont>
      <a:minorFont>
        <a:latin typeface="DIN-Regular"/>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C026-9CA6-4CDF-BC45-C15816A8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of Australia's reponse to the External review of the specialist medical colleges performance - specialist international medical graduate assessment rpocess</dc:title>
  <dc:creator>Medical Board</dc:creator>
  <cp:lastModifiedBy>Sheryl Kamath</cp:lastModifiedBy>
  <cp:revision>2</cp:revision>
  <dcterms:created xsi:type="dcterms:W3CDTF">2018-04-26T03:28:00Z</dcterms:created>
  <dcterms:modified xsi:type="dcterms:W3CDTF">2018-04-26T03:28:00Z</dcterms:modified>
</cp:coreProperties>
</file>