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FDC" w:rsidRPr="00993D07" w:rsidRDefault="000F1FDC">
      <w:pPr>
        <w:framePr w:w="6430" w:wrap="around" w:vAnchor="page" w:hAnchor="page" w:xAlign="center" w:y="3993"/>
        <w:jc w:val="center"/>
        <w:rPr>
          <w:rFonts w:cs="Arial"/>
        </w:rPr>
      </w:pPr>
    </w:p>
    <w:p w:rsidR="000F1FDC" w:rsidRPr="00993D07" w:rsidRDefault="000F1FDC">
      <w:pPr>
        <w:framePr w:w="6430" w:wrap="around" w:vAnchor="page" w:hAnchor="page" w:xAlign="center" w:y="3993"/>
        <w:rPr>
          <w:rFonts w:cs="Arial"/>
        </w:rPr>
      </w:pPr>
    </w:p>
    <w:p w:rsidR="000F1FDC" w:rsidRPr="00993D07" w:rsidRDefault="000F1FDC">
      <w:pPr>
        <w:framePr w:w="6430" w:wrap="around" w:vAnchor="page" w:hAnchor="page" w:xAlign="center" w:y="3993"/>
        <w:rPr>
          <w:rFonts w:cs="Arial"/>
        </w:rPr>
      </w:pPr>
    </w:p>
    <w:p w:rsidR="00F50F4D" w:rsidRPr="00993D07" w:rsidRDefault="001C41E7">
      <w:pPr>
        <w:framePr w:w="6430" w:wrap="around" w:vAnchor="page" w:hAnchor="page" w:xAlign="center" w:y="3993"/>
        <w:rPr>
          <w:rFonts w:cs="Arial"/>
        </w:rPr>
      </w:pPr>
      <w:r w:rsidRPr="00993D07">
        <w:rPr>
          <w:rFonts w:cs="Arial"/>
          <w:noProof/>
          <w:lang w:val="en-US"/>
        </w:rPr>
        <w:drawing>
          <wp:inline distT="0" distB="0" distL="0" distR="0">
            <wp:extent cx="3419475" cy="1476375"/>
            <wp:effectExtent l="19050" t="0" r="9525" b="0"/>
            <wp:docPr id="5" name="Picture 1" descr="\\meerkat\users\arivera\My Documents\Z. Admin\LOGOS\7483 AHPRA_CombinedBoards_14.jpg"/>
            <wp:cNvGraphicFramePr/>
            <a:graphic xmlns:a="http://schemas.openxmlformats.org/drawingml/2006/main">
              <a:graphicData uri="http://schemas.openxmlformats.org/drawingml/2006/picture">
                <pic:pic xmlns:pic="http://schemas.openxmlformats.org/drawingml/2006/picture">
                  <pic:nvPicPr>
                    <pic:cNvPr id="2050" name="Picture 2" descr="\\meerkat\users\arivera\My Documents\Z. Admin\LOGOS\7483 AHPRA_CombinedBoards_14.jpg"/>
                    <pic:cNvPicPr>
                      <a:picLocks noChangeAspect="1" noChangeArrowheads="1"/>
                    </pic:cNvPicPr>
                  </pic:nvPicPr>
                  <pic:blipFill>
                    <a:blip r:embed="rId8" cstate="print"/>
                    <a:srcRect/>
                    <a:stretch>
                      <a:fillRect/>
                    </a:stretch>
                  </pic:blipFill>
                  <pic:spPr bwMode="auto">
                    <a:xfrm>
                      <a:off x="0" y="0"/>
                      <a:ext cx="3418895" cy="1476124"/>
                    </a:xfrm>
                    <a:prstGeom prst="rect">
                      <a:avLst/>
                    </a:prstGeom>
                    <a:noFill/>
                  </pic:spPr>
                </pic:pic>
              </a:graphicData>
            </a:graphic>
          </wp:inline>
        </w:drawing>
      </w:r>
    </w:p>
    <w:p w:rsidR="00F50F4D" w:rsidRPr="00993D07" w:rsidRDefault="00F50F4D">
      <w:pPr>
        <w:framePr w:w="6430" w:wrap="around" w:vAnchor="page" w:hAnchor="page" w:xAlign="center" w:y="3993"/>
        <w:rPr>
          <w:rFonts w:cs="Arial"/>
        </w:rPr>
      </w:pPr>
    </w:p>
    <w:p w:rsidR="00F50F4D" w:rsidRPr="00993D07" w:rsidRDefault="00F50F4D">
      <w:pPr>
        <w:framePr w:w="6430" w:wrap="around" w:vAnchor="page" w:hAnchor="page" w:xAlign="center" w:y="3993"/>
        <w:rPr>
          <w:rFonts w:cs="Arial"/>
        </w:rPr>
      </w:pPr>
    </w:p>
    <w:p w:rsidR="00F50F4D" w:rsidRPr="00993D07" w:rsidRDefault="00F50F4D">
      <w:pPr>
        <w:framePr w:w="6430" w:wrap="around" w:vAnchor="page" w:hAnchor="page" w:xAlign="center" w:y="3993"/>
        <w:rPr>
          <w:rFonts w:cs="Arial"/>
        </w:rPr>
      </w:pPr>
    </w:p>
    <w:p w:rsidR="00AA3E31" w:rsidRPr="00993D07" w:rsidRDefault="00AA3E31">
      <w:pPr>
        <w:framePr w:w="6430" w:wrap="around" w:vAnchor="page" w:hAnchor="page" w:xAlign="center" w:y="3993"/>
        <w:rPr>
          <w:rFonts w:cs="Arial"/>
        </w:rPr>
      </w:pPr>
    </w:p>
    <w:tbl>
      <w:tblPr>
        <w:tblW w:w="7647" w:type="dxa"/>
        <w:tblInd w:w="8" w:type="dxa"/>
        <w:tblLayout w:type="fixed"/>
        <w:tblCellMar>
          <w:left w:w="0" w:type="dxa"/>
          <w:right w:w="0" w:type="dxa"/>
        </w:tblCellMar>
        <w:tblLook w:val="0000"/>
      </w:tblPr>
      <w:tblGrid>
        <w:gridCol w:w="7647"/>
      </w:tblGrid>
      <w:tr w:rsidR="000F1FDC" w:rsidRPr="00993D07" w:rsidTr="00B97136">
        <w:trPr>
          <w:cantSplit/>
        </w:trPr>
        <w:tc>
          <w:tcPr>
            <w:tcW w:w="7647" w:type="dxa"/>
          </w:tcPr>
          <w:p w:rsidR="00C64B17" w:rsidRPr="00993D07" w:rsidRDefault="00C64B17" w:rsidP="00C64B17">
            <w:pPr>
              <w:pStyle w:val="zreportname"/>
              <w:framePr w:w="6430" w:wrap="around"/>
              <w:jc w:val="left"/>
              <w:rPr>
                <w:rFonts w:cs="Arial"/>
                <w:b/>
                <w:color w:val="00B0F0"/>
                <w:szCs w:val="36"/>
              </w:rPr>
            </w:pPr>
            <w:bookmarkStart w:id="0" w:name="ReportName1" w:colFirst="0" w:colLast="0"/>
            <w:r w:rsidRPr="00993D07">
              <w:rPr>
                <w:rFonts w:cs="Arial"/>
                <w:b/>
                <w:color w:val="00B0F0"/>
                <w:szCs w:val="36"/>
              </w:rPr>
              <w:t xml:space="preserve">Cost Percentage Allocation </w:t>
            </w:r>
          </w:p>
          <w:p w:rsidR="00C64B17" w:rsidRDefault="00CC478C" w:rsidP="00C64B17">
            <w:pPr>
              <w:pStyle w:val="zreportname"/>
              <w:framePr w:w="6430" w:wrap="around"/>
              <w:jc w:val="left"/>
              <w:rPr>
                <w:rFonts w:cs="Arial"/>
                <w:b/>
                <w:color w:val="00B0F0"/>
                <w:szCs w:val="36"/>
              </w:rPr>
            </w:pPr>
            <w:r>
              <w:rPr>
                <w:rFonts w:cs="Arial"/>
                <w:b/>
                <w:color w:val="00B0F0"/>
                <w:szCs w:val="36"/>
              </w:rPr>
              <w:t>(</w:t>
            </w:r>
            <w:r w:rsidR="001C41E7" w:rsidRPr="00993D07">
              <w:rPr>
                <w:rFonts w:cs="Arial"/>
                <w:b/>
                <w:color w:val="00B0F0"/>
                <w:szCs w:val="36"/>
              </w:rPr>
              <w:t>Phase 3 Report</w:t>
            </w:r>
            <w:r>
              <w:rPr>
                <w:rFonts w:cs="Arial"/>
                <w:b/>
                <w:color w:val="00B0F0"/>
                <w:szCs w:val="36"/>
              </w:rPr>
              <w:t>)</w:t>
            </w:r>
            <w:r w:rsidR="00C64B17" w:rsidRPr="00993D07">
              <w:rPr>
                <w:rFonts w:cs="Arial"/>
                <w:b/>
                <w:color w:val="00B0F0"/>
                <w:szCs w:val="36"/>
              </w:rPr>
              <w:t xml:space="preserve"> </w:t>
            </w:r>
          </w:p>
          <w:p w:rsidR="00CC478C" w:rsidRPr="00993D07" w:rsidRDefault="00CC478C" w:rsidP="00C64B17">
            <w:pPr>
              <w:pStyle w:val="zreportname"/>
              <w:framePr w:w="6430" w:wrap="around"/>
              <w:jc w:val="left"/>
              <w:rPr>
                <w:rFonts w:cs="Arial"/>
                <w:b/>
                <w:color w:val="00B0F0"/>
                <w:szCs w:val="36"/>
              </w:rPr>
            </w:pPr>
          </w:p>
          <w:p w:rsidR="00CC478C" w:rsidRDefault="00CC478C" w:rsidP="00CC478C">
            <w:pPr>
              <w:pStyle w:val="zreportname"/>
              <w:framePr w:w="6430" w:wrap="around"/>
              <w:jc w:val="left"/>
              <w:rPr>
                <w:rFonts w:cs="Arial"/>
                <w:b/>
                <w:color w:val="00B0F0"/>
                <w:szCs w:val="36"/>
              </w:rPr>
            </w:pPr>
            <w:r>
              <w:rPr>
                <w:rFonts w:cs="Arial"/>
                <w:b/>
                <w:color w:val="00B0F0"/>
                <w:szCs w:val="36"/>
              </w:rPr>
              <w:t xml:space="preserve">Presented to the </w:t>
            </w:r>
          </w:p>
          <w:p w:rsidR="00CC478C" w:rsidRPr="00993D07" w:rsidRDefault="005552B3" w:rsidP="00CC478C">
            <w:pPr>
              <w:pStyle w:val="zreportname"/>
              <w:framePr w:w="6430" w:wrap="around"/>
              <w:jc w:val="left"/>
              <w:rPr>
                <w:rFonts w:cs="Arial"/>
                <w:b/>
                <w:color w:val="00B0F0"/>
                <w:szCs w:val="36"/>
              </w:rPr>
            </w:pPr>
            <w:r>
              <w:rPr>
                <w:rFonts w:cs="Arial"/>
                <w:b/>
                <w:color w:val="00B0F0"/>
                <w:szCs w:val="36"/>
              </w:rPr>
              <w:t>National Board</w:t>
            </w:r>
            <w:r w:rsidR="002A23CC">
              <w:rPr>
                <w:rFonts w:cs="Arial"/>
                <w:b/>
                <w:color w:val="00B0F0"/>
                <w:szCs w:val="36"/>
              </w:rPr>
              <w:t>s</w:t>
            </w:r>
          </w:p>
          <w:p w:rsidR="00CC478C" w:rsidRDefault="00CC478C" w:rsidP="00CC478C">
            <w:pPr>
              <w:pStyle w:val="zreportname"/>
              <w:framePr w:w="6430" w:wrap="around"/>
              <w:jc w:val="left"/>
              <w:rPr>
                <w:rFonts w:cs="Arial"/>
                <w:b/>
                <w:color w:val="00B0F0"/>
                <w:szCs w:val="36"/>
              </w:rPr>
            </w:pPr>
          </w:p>
          <w:p w:rsidR="00CC478C" w:rsidRPr="00993D07" w:rsidRDefault="00CC478C" w:rsidP="00CC478C">
            <w:pPr>
              <w:pStyle w:val="zreportname"/>
              <w:framePr w:w="6430" w:wrap="around"/>
              <w:jc w:val="left"/>
              <w:rPr>
                <w:rFonts w:cs="Arial"/>
                <w:b/>
                <w:color w:val="00B0F0"/>
                <w:szCs w:val="36"/>
              </w:rPr>
            </w:pPr>
            <w:r>
              <w:rPr>
                <w:rFonts w:cs="Arial"/>
                <w:b/>
                <w:color w:val="00B0F0"/>
                <w:szCs w:val="36"/>
              </w:rPr>
              <w:t>February 2013</w:t>
            </w:r>
          </w:p>
          <w:p w:rsidR="00F450FE" w:rsidRPr="00993D07" w:rsidRDefault="00F450FE" w:rsidP="00C64B17">
            <w:pPr>
              <w:pStyle w:val="zreportname"/>
              <w:framePr w:w="6430" w:wrap="around"/>
              <w:jc w:val="left"/>
              <w:rPr>
                <w:rFonts w:cs="Arial"/>
                <w:b/>
                <w:color w:val="00B0F0"/>
                <w:szCs w:val="36"/>
              </w:rPr>
            </w:pPr>
          </w:p>
          <w:p w:rsidR="00913A0C" w:rsidRPr="00993D07" w:rsidRDefault="00913A0C" w:rsidP="00913A0C">
            <w:pPr>
              <w:pStyle w:val="zreportname"/>
              <w:framePr w:w="6430" w:wrap="around"/>
              <w:jc w:val="left"/>
              <w:rPr>
                <w:rFonts w:cs="Arial"/>
                <w:color w:val="00B0F0"/>
                <w:sz w:val="32"/>
                <w:szCs w:val="32"/>
              </w:rPr>
            </w:pPr>
          </w:p>
        </w:tc>
      </w:tr>
      <w:tr w:rsidR="000F1FDC" w:rsidRPr="00993D07" w:rsidTr="00B97136">
        <w:trPr>
          <w:cantSplit/>
        </w:trPr>
        <w:tc>
          <w:tcPr>
            <w:tcW w:w="7647" w:type="dxa"/>
          </w:tcPr>
          <w:p w:rsidR="000F1FDC" w:rsidRPr="00993D07" w:rsidRDefault="000F1FDC">
            <w:pPr>
              <w:pStyle w:val="zreportsubtitle"/>
              <w:framePr w:w="6430" w:wrap="around"/>
              <w:jc w:val="left"/>
              <w:rPr>
                <w:rFonts w:cs="Arial"/>
                <w:color w:val="00B0F0"/>
              </w:rPr>
            </w:pPr>
            <w:bookmarkStart w:id="1" w:name="Subtitle" w:colFirst="0" w:colLast="0"/>
            <w:bookmarkEnd w:id="0"/>
          </w:p>
          <w:p w:rsidR="000F1FDC" w:rsidRPr="00993D07" w:rsidRDefault="000F1FDC" w:rsidP="00C64B17">
            <w:pPr>
              <w:pStyle w:val="zreportsubtitle"/>
              <w:framePr w:w="6430" w:wrap="around"/>
              <w:jc w:val="left"/>
              <w:rPr>
                <w:rFonts w:cs="Arial"/>
                <w:color w:val="00B0F0"/>
                <w:sz w:val="30"/>
                <w:szCs w:val="30"/>
              </w:rPr>
            </w:pPr>
          </w:p>
        </w:tc>
      </w:tr>
      <w:bookmarkEnd w:id="1"/>
    </w:tbl>
    <w:p w:rsidR="000F1FDC" w:rsidRPr="00993D07" w:rsidRDefault="000F1FDC">
      <w:pPr>
        <w:rPr>
          <w:rFonts w:cs="Arial"/>
        </w:rPr>
      </w:pPr>
    </w:p>
    <w:tbl>
      <w:tblPr>
        <w:tblW w:w="0" w:type="auto"/>
        <w:tblLayout w:type="fixed"/>
        <w:tblCellMar>
          <w:left w:w="80" w:type="dxa"/>
          <w:right w:w="80" w:type="dxa"/>
        </w:tblCellMar>
        <w:tblLook w:val="0000"/>
      </w:tblPr>
      <w:tblGrid>
        <w:gridCol w:w="5320"/>
      </w:tblGrid>
      <w:tr w:rsidR="000F1FDC" w:rsidRPr="00993D07">
        <w:trPr>
          <w:cantSplit/>
        </w:trPr>
        <w:tc>
          <w:tcPr>
            <w:tcW w:w="5320" w:type="dxa"/>
          </w:tcPr>
          <w:p w:rsidR="000F1FDC" w:rsidRPr="00993D07" w:rsidRDefault="000F1FDC">
            <w:pPr>
              <w:pStyle w:val="zreportaddinfo"/>
              <w:framePr w:wrap="around"/>
              <w:rPr>
                <w:rFonts w:cs="Arial"/>
              </w:rPr>
            </w:pPr>
            <w:bookmarkStart w:id="2" w:name="DocRef1"/>
            <w:bookmarkEnd w:id="2"/>
          </w:p>
        </w:tc>
      </w:tr>
      <w:tr w:rsidR="005B1F4F" w:rsidRPr="00993D07">
        <w:trPr>
          <w:cantSplit/>
        </w:trPr>
        <w:tc>
          <w:tcPr>
            <w:tcW w:w="5320" w:type="dxa"/>
          </w:tcPr>
          <w:p w:rsidR="005B1F4F" w:rsidRPr="00993D07" w:rsidRDefault="0053226A">
            <w:pPr>
              <w:pStyle w:val="zreportaddinfo"/>
              <w:framePr w:wrap="around"/>
              <w:rPr>
                <w:rFonts w:cs="Arial"/>
              </w:rPr>
            </w:pPr>
            <w:r w:rsidRPr="0053226A">
              <w:rPr>
                <w:rFonts w:cs="Arial"/>
              </w:rPr>
              <w:pict>
                <v:group id="_x0000_s1026" style="position:absolute;left:0;text-align:left;margin-left:60.35pt;margin-top:582.65pt;width:298.9pt;height:45pt;z-index:251657728;mso-position-horizontal-relative:text;mso-position-vertical-relative:page" coordorigin="6089,1083" coordsize="5220,900">
                  <v:rect id="_x0000_s1027" style="position:absolute;left:6089;top:1083;width:5220;height:900" fillcolor="#ae0000" strokecolor="#ae0000"/>
                  <v:shapetype id="_x0000_t202" coordsize="21600,21600" o:spt="202" path="m,l,21600r21600,l21600,xe">
                    <v:stroke joinstyle="miter"/>
                    <v:path gradientshapeok="t" o:connecttype="rect"/>
                  </v:shapetype>
                  <v:shape id="_x0000_s1028" type="#_x0000_t202" style="position:absolute;left:6089;top:1440;width:5220;height:540" filled="f" stroked="f">
                    <v:textbox style="mso-next-textbox:#_x0000_s1028">
                      <w:txbxContent>
                        <w:p w:rsidR="003A2FF4" w:rsidRPr="00853A8F" w:rsidRDefault="003A2FF4" w:rsidP="005B1F4F">
                          <w:pPr>
                            <w:jc w:val="center"/>
                            <w:rPr>
                              <w:rFonts w:cs="Arial"/>
                              <w:b/>
                              <w:color w:val="FFFFFF"/>
                              <w:sz w:val="28"/>
                              <w:szCs w:val="28"/>
                            </w:rPr>
                          </w:pPr>
                          <w:r>
                            <w:rPr>
                              <w:rFonts w:cs="Arial"/>
                              <w:b/>
                              <w:color w:val="FFFFFF"/>
                              <w:sz w:val="28"/>
                              <w:szCs w:val="28"/>
                            </w:rPr>
                            <w:t>Paul White: Group Assurance Manager</w:t>
                          </w:r>
                        </w:p>
                      </w:txbxContent>
                    </v:textbox>
                  </v:shape>
                  <w10:wrap anchory="page"/>
                  <w10:anchorlock/>
                </v:group>
              </w:pict>
            </w:r>
          </w:p>
          <w:p w:rsidR="005B1F4F" w:rsidRPr="00993D07" w:rsidRDefault="005B1F4F">
            <w:pPr>
              <w:pStyle w:val="zreportaddinfo"/>
              <w:framePr w:wrap="around"/>
              <w:rPr>
                <w:rFonts w:cs="Arial"/>
              </w:rPr>
            </w:pPr>
          </w:p>
          <w:p w:rsidR="005B1F4F" w:rsidRPr="00993D07" w:rsidRDefault="005B1F4F">
            <w:pPr>
              <w:pStyle w:val="zreportaddinfo"/>
              <w:framePr w:wrap="around"/>
              <w:rPr>
                <w:rFonts w:cs="Arial"/>
              </w:rPr>
            </w:pPr>
          </w:p>
          <w:p w:rsidR="005B1F4F" w:rsidRPr="00993D07" w:rsidRDefault="005B1F4F">
            <w:pPr>
              <w:pStyle w:val="zreportaddinfo"/>
              <w:framePr w:wrap="around"/>
              <w:rPr>
                <w:rFonts w:cs="Arial"/>
              </w:rPr>
            </w:pPr>
          </w:p>
        </w:tc>
      </w:tr>
    </w:tbl>
    <w:p w:rsidR="000F1FDC" w:rsidRPr="00993D07" w:rsidRDefault="000F1FDC">
      <w:pPr>
        <w:pStyle w:val="Signature"/>
        <w:spacing w:line="260" w:lineRule="atLeast"/>
        <w:rPr>
          <w:rFonts w:cs="Arial"/>
        </w:rPr>
        <w:sectPr w:rsidR="000F1FDC" w:rsidRPr="00993D07">
          <w:headerReference w:type="default" r:id="rId9"/>
          <w:footerReference w:type="even" r:id="rId10"/>
          <w:pgSz w:w="11907" w:h="16840" w:code="9"/>
          <w:pgMar w:top="2835" w:right="1616" w:bottom="2126" w:left="1616" w:header="737" w:footer="737" w:gutter="454"/>
          <w:pgNumType w:start="1"/>
          <w:cols w:space="720"/>
        </w:sectPr>
      </w:pPr>
    </w:p>
    <w:p w:rsidR="000F1FDC" w:rsidRPr="00993D07" w:rsidRDefault="000F1FDC">
      <w:pPr>
        <w:pStyle w:val="zcontents"/>
        <w:rPr>
          <w:rFonts w:cs="Arial"/>
          <w:color w:val="00B0F0"/>
        </w:rPr>
      </w:pPr>
      <w:r w:rsidRPr="00993D07">
        <w:rPr>
          <w:rFonts w:cs="Arial"/>
          <w:b/>
          <w:snapToGrid w:val="0"/>
          <w:color w:val="00B0F0"/>
        </w:rPr>
        <w:lastRenderedPageBreak/>
        <w:t>Contents</w:t>
      </w:r>
    </w:p>
    <w:p w:rsidR="00885124" w:rsidRDefault="0053226A">
      <w:pPr>
        <w:pStyle w:val="TOC1"/>
        <w:tabs>
          <w:tab w:val="left" w:pos="440"/>
          <w:tab w:val="right" w:leader="dot" w:pos="8211"/>
        </w:tabs>
        <w:rPr>
          <w:rFonts w:asciiTheme="minorHAnsi" w:eastAsiaTheme="minorEastAsia" w:hAnsiTheme="minorHAnsi" w:cstheme="minorBidi"/>
          <w:b w:val="0"/>
          <w:caps w:val="0"/>
          <w:noProof/>
          <w:sz w:val="22"/>
          <w:szCs w:val="22"/>
          <w:lang w:eastAsia="en-AU"/>
        </w:rPr>
      </w:pPr>
      <w:r w:rsidRPr="00993D07">
        <w:rPr>
          <w:rFonts w:cs="Arial"/>
          <w:sz w:val="22"/>
          <w:szCs w:val="22"/>
        </w:rPr>
        <w:fldChar w:fldCharType="begin"/>
      </w:r>
      <w:r w:rsidR="000F1FDC" w:rsidRPr="00993D07">
        <w:rPr>
          <w:rFonts w:cs="Arial"/>
          <w:sz w:val="22"/>
          <w:szCs w:val="22"/>
        </w:rPr>
        <w:instrText xml:space="preserve"> TOC \o "1-3" \t "Appendix Heading,1" </w:instrText>
      </w:r>
      <w:r w:rsidRPr="00993D07">
        <w:rPr>
          <w:rFonts w:cs="Arial"/>
          <w:sz w:val="22"/>
          <w:szCs w:val="22"/>
        </w:rPr>
        <w:fldChar w:fldCharType="separate"/>
      </w:r>
      <w:r w:rsidR="00885124">
        <w:rPr>
          <w:noProof/>
        </w:rPr>
        <w:t>1</w:t>
      </w:r>
      <w:r w:rsidR="00885124">
        <w:rPr>
          <w:rFonts w:asciiTheme="minorHAnsi" w:eastAsiaTheme="minorEastAsia" w:hAnsiTheme="minorHAnsi" w:cstheme="minorBidi"/>
          <w:b w:val="0"/>
          <w:caps w:val="0"/>
          <w:noProof/>
          <w:sz w:val="22"/>
          <w:szCs w:val="22"/>
          <w:lang w:eastAsia="en-AU"/>
        </w:rPr>
        <w:tab/>
      </w:r>
      <w:r w:rsidR="00885124">
        <w:rPr>
          <w:noProof/>
        </w:rPr>
        <w:t>Introduction</w:t>
      </w:r>
      <w:r w:rsidR="00885124">
        <w:rPr>
          <w:noProof/>
        </w:rPr>
        <w:tab/>
      </w:r>
      <w:r>
        <w:rPr>
          <w:noProof/>
        </w:rPr>
        <w:fldChar w:fldCharType="begin"/>
      </w:r>
      <w:r w:rsidR="00885124">
        <w:rPr>
          <w:noProof/>
        </w:rPr>
        <w:instrText xml:space="preserve"> PAGEREF _Toc346891227 \h </w:instrText>
      </w:r>
      <w:r>
        <w:rPr>
          <w:noProof/>
        </w:rPr>
      </w:r>
      <w:r>
        <w:rPr>
          <w:noProof/>
        </w:rPr>
        <w:fldChar w:fldCharType="separate"/>
      </w:r>
      <w:r w:rsidR="003A2FF4">
        <w:rPr>
          <w:noProof/>
        </w:rPr>
        <w:t>1</w:t>
      </w:r>
      <w:r>
        <w:rPr>
          <w:noProof/>
        </w:rPr>
        <w:fldChar w:fldCharType="end"/>
      </w:r>
    </w:p>
    <w:p w:rsidR="00885124" w:rsidRDefault="00885124">
      <w:pPr>
        <w:pStyle w:val="TOC1"/>
        <w:tabs>
          <w:tab w:val="left" w:pos="440"/>
          <w:tab w:val="right" w:leader="dot" w:pos="8211"/>
        </w:tabs>
        <w:rPr>
          <w:rFonts w:asciiTheme="minorHAnsi" w:eastAsiaTheme="minorEastAsia" w:hAnsiTheme="minorHAnsi" w:cstheme="minorBidi"/>
          <w:b w:val="0"/>
          <w:caps w:val="0"/>
          <w:noProof/>
          <w:sz w:val="22"/>
          <w:szCs w:val="22"/>
          <w:lang w:eastAsia="en-AU"/>
        </w:rPr>
      </w:pPr>
      <w:r>
        <w:rPr>
          <w:noProof/>
        </w:rPr>
        <w:t>2</w:t>
      </w:r>
      <w:r>
        <w:rPr>
          <w:rFonts w:asciiTheme="minorHAnsi" w:eastAsiaTheme="minorEastAsia" w:hAnsiTheme="minorHAnsi" w:cstheme="minorBidi"/>
          <w:b w:val="0"/>
          <w:caps w:val="0"/>
          <w:noProof/>
          <w:sz w:val="22"/>
          <w:szCs w:val="22"/>
          <w:lang w:eastAsia="en-AU"/>
        </w:rPr>
        <w:tab/>
      </w:r>
      <w:r>
        <w:rPr>
          <w:noProof/>
        </w:rPr>
        <w:t>Executive Summary</w:t>
      </w:r>
      <w:r>
        <w:rPr>
          <w:noProof/>
        </w:rPr>
        <w:tab/>
      </w:r>
      <w:r w:rsidR="0053226A">
        <w:rPr>
          <w:noProof/>
        </w:rPr>
        <w:fldChar w:fldCharType="begin"/>
      </w:r>
      <w:r>
        <w:rPr>
          <w:noProof/>
        </w:rPr>
        <w:instrText xml:space="preserve"> PAGEREF _Toc346891228 \h </w:instrText>
      </w:r>
      <w:r w:rsidR="0053226A">
        <w:rPr>
          <w:noProof/>
        </w:rPr>
      </w:r>
      <w:r w:rsidR="0053226A">
        <w:rPr>
          <w:noProof/>
        </w:rPr>
        <w:fldChar w:fldCharType="separate"/>
      </w:r>
      <w:r w:rsidR="003A2FF4">
        <w:rPr>
          <w:noProof/>
        </w:rPr>
        <w:t>2</w:t>
      </w:r>
      <w:r w:rsidR="0053226A">
        <w:rPr>
          <w:noProof/>
        </w:rPr>
        <w:fldChar w:fldCharType="end"/>
      </w:r>
    </w:p>
    <w:p w:rsidR="00885124" w:rsidRDefault="00885124">
      <w:pPr>
        <w:pStyle w:val="TOC2"/>
        <w:tabs>
          <w:tab w:val="left" w:pos="880"/>
          <w:tab w:val="right" w:leader="dot" w:pos="8211"/>
        </w:tabs>
        <w:rPr>
          <w:rFonts w:asciiTheme="minorHAnsi" w:eastAsiaTheme="minorEastAsia" w:hAnsiTheme="minorHAnsi" w:cstheme="minorBidi"/>
          <w:smallCaps w:val="0"/>
          <w:noProof/>
          <w:sz w:val="22"/>
          <w:szCs w:val="22"/>
          <w:lang w:eastAsia="en-AU"/>
        </w:rPr>
      </w:pPr>
      <w:r>
        <w:rPr>
          <w:noProof/>
        </w:rPr>
        <w:t>2.1</w:t>
      </w:r>
      <w:r>
        <w:rPr>
          <w:rFonts w:asciiTheme="minorHAnsi" w:eastAsiaTheme="minorEastAsia" w:hAnsiTheme="minorHAnsi" w:cstheme="minorBidi"/>
          <w:smallCaps w:val="0"/>
          <w:noProof/>
          <w:sz w:val="22"/>
          <w:szCs w:val="22"/>
          <w:lang w:eastAsia="en-AU"/>
        </w:rPr>
        <w:tab/>
      </w:r>
      <w:r>
        <w:rPr>
          <w:noProof/>
        </w:rPr>
        <w:t>Background</w:t>
      </w:r>
      <w:r>
        <w:rPr>
          <w:noProof/>
        </w:rPr>
        <w:tab/>
      </w:r>
      <w:r w:rsidR="0053226A">
        <w:rPr>
          <w:noProof/>
        </w:rPr>
        <w:fldChar w:fldCharType="begin"/>
      </w:r>
      <w:r>
        <w:rPr>
          <w:noProof/>
        </w:rPr>
        <w:instrText xml:space="preserve"> PAGEREF _Toc346891229 \h </w:instrText>
      </w:r>
      <w:r w:rsidR="0053226A">
        <w:rPr>
          <w:noProof/>
        </w:rPr>
      </w:r>
      <w:r w:rsidR="0053226A">
        <w:rPr>
          <w:noProof/>
        </w:rPr>
        <w:fldChar w:fldCharType="separate"/>
      </w:r>
      <w:r w:rsidR="003A2FF4">
        <w:rPr>
          <w:noProof/>
        </w:rPr>
        <w:t>2</w:t>
      </w:r>
      <w:r w:rsidR="0053226A">
        <w:rPr>
          <w:noProof/>
        </w:rPr>
        <w:fldChar w:fldCharType="end"/>
      </w:r>
    </w:p>
    <w:p w:rsidR="00885124" w:rsidRDefault="00885124">
      <w:pPr>
        <w:pStyle w:val="TOC2"/>
        <w:tabs>
          <w:tab w:val="left" w:pos="880"/>
          <w:tab w:val="right" w:leader="dot" w:pos="8211"/>
        </w:tabs>
        <w:rPr>
          <w:rFonts w:asciiTheme="minorHAnsi" w:eastAsiaTheme="minorEastAsia" w:hAnsiTheme="minorHAnsi" w:cstheme="minorBidi"/>
          <w:smallCaps w:val="0"/>
          <w:noProof/>
          <w:sz w:val="22"/>
          <w:szCs w:val="22"/>
          <w:lang w:eastAsia="en-AU"/>
        </w:rPr>
      </w:pPr>
      <w:r>
        <w:rPr>
          <w:noProof/>
        </w:rPr>
        <w:t>2.2</w:t>
      </w:r>
      <w:r>
        <w:rPr>
          <w:rFonts w:asciiTheme="minorHAnsi" w:eastAsiaTheme="minorEastAsia" w:hAnsiTheme="minorHAnsi" w:cstheme="minorBidi"/>
          <w:smallCaps w:val="0"/>
          <w:noProof/>
          <w:sz w:val="22"/>
          <w:szCs w:val="22"/>
          <w:lang w:eastAsia="en-AU"/>
        </w:rPr>
        <w:tab/>
      </w:r>
      <w:r>
        <w:rPr>
          <w:noProof/>
        </w:rPr>
        <w:t>Objective</w:t>
      </w:r>
      <w:r>
        <w:rPr>
          <w:noProof/>
        </w:rPr>
        <w:tab/>
      </w:r>
      <w:r w:rsidR="0053226A">
        <w:rPr>
          <w:noProof/>
        </w:rPr>
        <w:fldChar w:fldCharType="begin"/>
      </w:r>
      <w:r>
        <w:rPr>
          <w:noProof/>
        </w:rPr>
        <w:instrText xml:space="preserve"> PAGEREF _Toc346891230 \h </w:instrText>
      </w:r>
      <w:r w:rsidR="0053226A">
        <w:rPr>
          <w:noProof/>
        </w:rPr>
      </w:r>
      <w:r w:rsidR="0053226A">
        <w:rPr>
          <w:noProof/>
        </w:rPr>
        <w:fldChar w:fldCharType="separate"/>
      </w:r>
      <w:r w:rsidR="003A2FF4">
        <w:rPr>
          <w:noProof/>
        </w:rPr>
        <w:t>2</w:t>
      </w:r>
      <w:r w:rsidR="0053226A">
        <w:rPr>
          <w:noProof/>
        </w:rPr>
        <w:fldChar w:fldCharType="end"/>
      </w:r>
    </w:p>
    <w:p w:rsidR="00885124" w:rsidRDefault="00885124">
      <w:pPr>
        <w:pStyle w:val="TOC2"/>
        <w:tabs>
          <w:tab w:val="left" w:pos="880"/>
          <w:tab w:val="right" w:leader="dot" w:pos="8211"/>
        </w:tabs>
        <w:rPr>
          <w:rFonts w:asciiTheme="minorHAnsi" w:eastAsiaTheme="minorEastAsia" w:hAnsiTheme="minorHAnsi" w:cstheme="minorBidi"/>
          <w:smallCaps w:val="0"/>
          <w:noProof/>
          <w:sz w:val="22"/>
          <w:szCs w:val="22"/>
          <w:lang w:eastAsia="en-AU"/>
        </w:rPr>
      </w:pPr>
      <w:r>
        <w:rPr>
          <w:noProof/>
        </w:rPr>
        <w:t>2.3</w:t>
      </w:r>
      <w:r>
        <w:rPr>
          <w:rFonts w:asciiTheme="minorHAnsi" w:eastAsiaTheme="minorEastAsia" w:hAnsiTheme="minorHAnsi" w:cstheme="minorBidi"/>
          <w:smallCaps w:val="0"/>
          <w:noProof/>
          <w:sz w:val="22"/>
          <w:szCs w:val="22"/>
          <w:lang w:eastAsia="en-AU"/>
        </w:rPr>
        <w:tab/>
      </w:r>
      <w:r>
        <w:rPr>
          <w:noProof/>
        </w:rPr>
        <w:t>Engagement Scope</w:t>
      </w:r>
      <w:r>
        <w:rPr>
          <w:noProof/>
        </w:rPr>
        <w:tab/>
      </w:r>
      <w:r w:rsidR="0053226A">
        <w:rPr>
          <w:noProof/>
        </w:rPr>
        <w:fldChar w:fldCharType="begin"/>
      </w:r>
      <w:r>
        <w:rPr>
          <w:noProof/>
        </w:rPr>
        <w:instrText xml:space="preserve"> PAGEREF _Toc346891231 \h </w:instrText>
      </w:r>
      <w:r w:rsidR="0053226A">
        <w:rPr>
          <w:noProof/>
        </w:rPr>
      </w:r>
      <w:r w:rsidR="0053226A">
        <w:rPr>
          <w:noProof/>
        </w:rPr>
        <w:fldChar w:fldCharType="separate"/>
      </w:r>
      <w:r w:rsidR="003A2FF4">
        <w:rPr>
          <w:noProof/>
        </w:rPr>
        <w:t>2</w:t>
      </w:r>
      <w:r w:rsidR="0053226A">
        <w:rPr>
          <w:noProof/>
        </w:rPr>
        <w:fldChar w:fldCharType="end"/>
      </w:r>
    </w:p>
    <w:p w:rsidR="00885124" w:rsidRDefault="00885124">
      <w:pPr>
        <w:pStyle w:val="TOC2"/>
        <w:tabs>
          <w:tab w:val="left" w:pos="880"/>
          <w:tab w:val="right" w:leader="dot" w:pos="8211"/>
        </w:tabs>
        <w:rPr>
          <w:rFonts w:asciiTheme="minorHAnsi" w:eastAsiaTheme="minorEastAsia" w:hAnsiTheme="minorHAnsi" w:cstheme="minorBidi"/>
          <w:smallCaps w:val="0"/>
          <w:noProof/>
          <w:sz w:val="22"/>
          <w:szCs w:val="22"/>
          <w:lang w:eastAsia="en-AU"/>
        </w:rPr>
      </w:pPr>
      <w:r>
        <w:rPr>
          <w:noProof/>
        </w:rPr>
        <w:t>2.4</w:t>
      </w:r>
      <w:r>
        <w:rPr>
          <w:rFonts w:asciiTheme="minorHAnsi" w:eastAsiaTheme="minorEastAsia" w:hAnsiTheme="minorHAnsi" w:cstheme="minorBidi"/>
          <w:smallCaps w:val="0"/>
          <w:noProof/>
          <w:sz w:val="22"/>
          <w:szCs w:val="22"/>
          <w:lang w:eastAsia="en-AU"/>
        </w:rPr>
        <w:tab/>
      </w:r>
      <w:r>
        <w:rPr>
          <w:noProof/>
        </w:rPr>
        <w:t>Conclusion</w:t>
      </w:r>
      <w:r>
        <w:rPr>
          <w:noProof/>
        </w:rPr>
        <w:tab/>
      </w:r>
      <w:r w:rsidR="0053226A">
        <w:rPr>
          <w:noProof/>
        </w:rPr>
        <w:fldChar w:fldCharType="begin"/>
      </w:r>
      <w:r>
        <w:rPr>
          <w:noProof/>
        </w:rPr>
        <w:instrText xml:space="preserve"> PAGEREF _Toc346891232 \h </w:instrText>
      </w:r>
      <w:r w:rsidR="0053226A">
        <w:rPr>
          <w:noProof/>
        </w:rPr>
      </w:r>
      <w:r w:rsidR="0053226A">
        <w:rPr>
          <w:noProof/>
        </w:rPr>
        <w:fldChar w:fldCharType="separate"/>
      </w:r>
      <w:r w:rsidR="003A2FF4">
        <w:rPr>
          <w:noProof/>
        </w:rPr>
        <w:t>3</w:t>
      </w:r>
      <w:r w:rsidR="0053226A">
        <w:rPr>
          <w:noProof/>
        </w:rPr>
        <w:fldChar w:fldCharType="end"/>
      </w:r>
    </w:p>
    <w:p w:rsidR="00885124" w:rsidRDefault="00885124">
      <w:pPr>
        <w:pStyle w:val="TOC2"/>
        <w:tabs>
          <w:tab w:val="left" w:pos="880"/>
          <w:tab w:val="right" w:leader="dot" w:pos="8211"/>
        </w:tabs>
        <w:rPr>
          <w:rFonts w:asciiTheme="minorHAnsi" w:eastAsiaTheme="minorEastAsia" w:hAnsiTheme="minorHAnsi" w:cstheme="minorBidi"/>
          <w:smallCaps w:val="0"/>
          <w:noProof/>
          <w:sz w:val="22"/>
          <w:szCs w:val="22"/>
          <w:lang w:eastAsia="en-AU"/>
        </w:rPr>
      </w:pPr>
      <w:r>
        <w:rPr>
          <w:noProof/>
        </w:rPr>
        <w:t>2.5</w:t>
      </w:r>
      <w:r>
        <w:rPr>
          <w:rFonts w:asciiTheme="minorHAnsi" w:eastAsiaTheme="minorEastAsia" w:hAnsiTheme="minorHAnsi" w:cstheme="minorBidi"/>
          <w:smallCaps w:val="0"/>
          <w:noProof/>
          <w:sz w:val="22"/>
          <w:szCs w:val="22"/>
          <w:lang w:eastAsia="en-AU"/>
        </w:rPr>
        <w:tab/>
      </w:r>
      <w:r>
        <w:rPr>
          <w:noProof/>
        </w:rPr>
        <w:t>Proposed Allocation Percentages – 1 July 2013</w:t>
      </w:r>
      <w:r>
        <w:rPr>
          <w:noProof/>
        </w:rPr>
        <w:tab/>
      </w:r>
      <w:r w:rsidR="0053226A">
        <w:rPr>
          <w:noProof/>
        </w:rPr>
        <w:fldChar w:fldCharType="begin"/>
      </w:r>
      <w:r>
        <w:rPr>
          <w:noProof/>
        </w:rPr>
        <w:instrText xml:space="preserve"> PAGEREF _Toc346891233 \h </w:instrText>
      </w:r>
      <w:r w:rsidR="0053226A">
        <w:rPr>
          <w:noProof/>
        </w:rPr>
      </w:r>
      <w:r w:rsidR="0053226A">
        <w:rPr>
          <w:noProof/>
        </w:rPr>
        <w:fldChar w:fldCharType="separate"/>
      </w:r>
      <w:r w:rsidR="003A2FF4">
        <w:rPr>
          <w:noProof/>
        </w:rPr>
        <w:t>4</w:t>
      </w:r>
      <w:r w:rsidR="0053226A">
        <w:rPr>
          <w:noProof/>
        </w:rPr>
        <w:fldChar w:fldCharType="end"/>
      </w:r>
    </w:p>
    <w:p w:rsidR="00885124" w:rsidRDefault="00885124">
      <w:pPr>
        <w:pStyle w:val="TOC2"/>
        <w:tabs>
          <w:tab w:val="left" w:pos="880"/>
          <w:tab w:val="right" w:leader="dot" w:pos="8211"/>
        </w:tabs>
        <w:rPr>
          <w:rFonts w:asciiTheme="minorHAnsi" w:eastAsiaTheme="minorEastAsia" w:hAnsiTheme="minorHAnsi" w:cstheme="minorBidi"/>
          <w:smallCaps w:val="0"/>
          <w:noProof/>
          <w:sz w:val="22"/>
          <w:szCs w:val="22"/>
          <w:lang w:eastAsia="en-AU"/>
        </w:rPr>
      </w:pPr>
      <w:r>
        <w:rPr>
          <w:noProof/>
        </w:rPr>
        <w:t>2.6</w:t>
      </w:r>
      <w:r>
        <w:rPr>
          <w:rFonts w:asciiTheme="minorHAnsi" w:eastAsiaTheme="minorEastAsia" w:hAnsiTheme="minorHAnsi" w:cstheme="minorBidi"/>
          <w:smallCaps w:val="0"/>
          <w:noProof/>
          <w:sz w:val="22"/>
          <w:szCs w:val="22"/>
          <w:lang w:eastAsia="en-AU"/>
        </w:rPr>
        <w:tab/>
      </w:r>
      <w:r>
        <w:rPr>
          <w:noProof/>
        </w:rPr>
        <w:t>Recommendation</w:t>
      </w:r>
      <w:r>
        <w:rPr>
          <w:noProof/>
        </w:rPr>
        <w:tab/>
      </w:r>
      <w:r w:rsidR="0053226A">
        <w:rPr>
          <w:noProof/>
        </w:rPr>
        <w:fldChar w:fldCharType="begin"/>
      </w:r>
      <w:r>
        <w:rPr>
          <w:noProof/>
        </w:rPr>
        <w:instrText xml:space="preserve"> PAGEREF _Toc346891234 \h </w:instrText>
      </w:r>
      <w:r w:rsidR="0053226A">
        <w:rPr>
          <w:noProof/>
        </w:rPr>
      </w:r>
      <w:r w:rsidR="0053226A">
        <w:rPr>
          <w:noProof/>
        </w:rPr>
        <w:fldChar w:fldCharType="separate"/>
      </w:r>
      <w:r w:rsidR="003A2FF4">
        <w:rPr>
          <w:noProof/>
        </w:rPr>
        <w:t>5</w:t>
      </w:r>
      <w:r w:rsidR="0053226A">
        <w:rPr>
          <w:noProof/>
        </w:rPr>
        <w:fldChar w:fldCharType="end"/>
      </w:r>
    </w:p>
    <w:p w:rsidR="00885124" w:rsidRDefault="00885124">
      <w:pPr>
        <w:pStyle w:val="TOC1"/>
        <w:tabs>
          <w:tab w:val="left" w:pos="440"/>
          <w:tab w:val="right" w:leader="dot" w:pos="8211"/>
        </w:tabs>
        <w:rPr>
          <w:rFonts w:asciiTheme="minorHAnsi" w:eastAsiaTheme="minorEastAsia" w:hAnsiTheme="minorHAnsi" w:cstheme="minorBidi"/>
          <w:b w:val="0"/>
          <w:caps w:val="0"/>
          <w:noProof/>
          <w:sz w:val="22"/>
          <w:szCs w:val="22"/>
          <w:lang w:eastAsia="en-AU"/>
        </w:rPr>
      </w:pPr>
      <w:r>
        <w:rPr>
          <w:noProof/>
        </w:rPr>
        <w:t>3</w:t>
      </w:r>
      <w:r>
        <w:rPr>
          <w:rFonts w:asciiTheme="minorHAnsi" w:eastAsiaTheme="minorEastAsia" w:hAnsiTheme="minorHAnsi" w:cstheme="minorBidi"/>
          <w:b w:val="0"/>
          <w:caps w:val="0"/>
          <w:noProof/>
          <w:sz w:val="22"/>
          <w:szCs w:val="22"/>
          <w:lang w:eastAsia="en-AU"/>
        </w:rPr>
        <w:tab/>
      </w:r>
      <w:r>
        <w:rPr>
          <w:noProof/>
        </w:rPr>
        <w:t>AHPRA’s Cost Allocation Road Map</w:t>
      </w:r>
      <w:r>
        <w:rPr>
          <w:noProof/>
        </w:rPr>
        <w:tab/>
      </w:r>
      <w:r w:rsidR="0053226A">
        <w:rPr>
          <w:noProof/>
        </w:rPr>
        <w:fldChar w:fldCharType="begin"/>
      </w:r>
      <w:r>
        <w:rPr>
          <w:noProof/>
        </w:rPr>
        <w:instrText xml:space="preserve"> PAGEREF _Toc346891235 \h </w:instrText>
      </w:r>
      <w:r w:rsidR="0053226A">
        <w:rPr>
          <w:noProof/>
        </w:rPr>
      </w:r>
      <w:r w:rsidR="0053226A">
        <w:rPr>
          <w:noProof/>
        </w:rPr>
        <w:fldChar w:fldCharType="separate"/>
      </w:r>
      <w:r w:rsidR="003A2FF4">
        <w:rPr>
          <w:noProof/>
        </w:rPr>
        <w:t>6</w:t>
      </w:r>
      <w:r w:rsidR="0053226A">
        <w:rPr>
          <w:noProof/>
        </w:rPr>
        <w:fldChar w:fldCharType="end"/>
      </w:r>
    </w:p>
    <w:p w:rsidR="00885124" w:rsidRDefault="00885124">
      <w:pPr>
        <w:pStyle w:val="TOC2"/>
        <w:tabs>
          <w:tab w:val="left" w:pos="880"/>
          <w:tab w:val="right" w:leader="dot" w:pos="8211"/>
        </w:tabs>
        <w:rPr>
          <w:rFonts w:asciiTheme="minorHAnsi" w:eastAsiaTheme="minorEastAsia" w:hAnsiTheme="minorHAnsi" w:cstheme="minorBidi"/>
          <w:smallCaps w:val="0"/>
          <w:noProof/>
          <w:sz w:val="22"/>
          <w:szCs w:val="22"/>
          <w:lang w:eastAsia="en-AU"/>
        </w:rPr>
      </w:pPr>
      <w:r>
        <w:rPr>
          <w:noProof/>
        </w:rPr>
        <w:t>3.1</w:t>
      </w:r>
      <w:r>
        <w:rPr>
          <w:rFonts w:asciiTheme="minorHAnsi" w:eastAsiaTheme="minorEastAsia" w:hAnsiTheme="minorHAnsi" w:cstheme="minorBidi"/>
          <w:smallCaps w:val="0"/>
          <w:noProof/>
          <w:sz w:val="22"/>
          <w:szCs w:val="22"/>
          <w:lang w:eastAsia="en-AU"/>
        </w:rPr>
        <w:tab/>
      </w:r>
      <w:r>
        <w:rPr>
          <w:noProof/>
        </w:rPr>
        <w:t>Cost allocation requirements</w:t>
      </w:r>
      <w:r>
        <w:rPr>
          <w:noProof/>
        </w:rPr>
        <w:tab/>
      </w:r>
      <w:r w:rsidR="0053226A">
        <w:rPr>
          <w:noProof/>
        </w:rPr>
        <w:fldChar w:fldCharType="begin"/>
      </w:r>
      <w:r>
        <w:rPr>
          <w:noProof/>
        </w:rPr>
        <w:instrText xml:space="preserve"> PAGEREF _Toc346891236 \h </w:instrText>
      </w:r>
      <w:r w:rsidR="0053226A">
        <w:rPr>
          <w:noProof/>
        </w:rPr>
      </w:r>
      <w:r w:rsidR="0053226A">
        <w:rPr>
          <w:noProof/>
        </w:rPr>
        <w:fldChar w:fldCharType="separate"/>
      </w:r>
      <w:r w:rsidR="003A2FF4">
        <w:rPr>
          <w:noProof/>
        </w:rPr>
        <w:t>6</w:t>
      </w:r>
      <w:r w:rsidR="0053226A">
        <w:rPr>
          <w:noProof/>
        </w:rPr>
        <w:fldChar w:fldCharType="end"/>
      </w:r>
    </w:p>
    <w:p w:rsidR="00885124" w:rsidRDefault="00885124">
      <w:pPr>
        <w:pStyle w:val="TOC2"/>
        <w:tabs>
          <w:tab w:val="left" w:pos="880"/>
          <w:tab w:val="right" w:leader="dot" w:pos="8211"/>
        </w:tabs>
        <w:rPr>
          <w:rFonts w:asciiTheme="minorHAnsi" w:eastAsiaTheme="minorEastAsia" w:hAnsiTheme="minorHAnsi" w:cstheme="minorBidi"/>
          <w:smallCaps w:val="0"/>
          <w:noProof/>
          <w:sz w:val="22"/>
          <w:szCs w:val="22"/>
          <w:lang w:eastAsia="en-AU"/>
        </w:rPr>
      </w:pPr>
      <w:r>
        <w:rPr>
          <w:noProof/>
        </w:rPr>
        <w:t>3.2</w:t>
      </w:r>
      <w:r>
        <w:rPr>
          <w:rFonts w:asciiTheme="minorHAnsi" w:eastAsiaTheme="minorEastAsia" w:hAnsiTheme="minorHAnsi" w:cstheme="minorBidi"/>
          <w:smallCaps w:val="0"/>
          <w:noProof/>
          <w:sz w:val="22"/>
          <w:szCs w:val="22"/>
          <w:lang w:eastAsia="en-AU"/>
        </w:rPr>
        <w:tab/>
      </w:r>
      <w:r>
        <w:rPr>
          <w:noProof/>
        </w:rPr>
        <w:t>Percentage rates adopted at inception</w:t>
      </w:r>
      <w:r>
        <w:rPr>
          <w:noProof/>
        </w:rPr>
        <w:tab/>
      </w:r>
      <w:r w:rsidR="0053226A">
        <w:rPr>
          <w:noProof/>
        </w:rPr>
        <w:fldChar w:fldCharType="begin"/>
      </w:r>
      <w:r>
        <w:rPr>
          <w:noProof/>
        </w:rPr>
        <w:instrText xml:space="preserve"> PAGEREF _Toc346891237 \h </w:instrText>
      </w:r>
      <w:r w:rsidR="0053226A">
        <w:rPr>
          <w:noProof/>
        </w:rPr>
      </w:r>
      <w:r w:rsidR="0053226A">
        <w:rPr>
          <w:noProof/>
        </w:rPr>
        <w:fldChar w:fldCharType="separate"/>
      </w:r>
      <w:r w:rsidR="003A2FF4">
        <w:rPr>
          <w:noProof/>
        </w:rPr>
        <w:t>6</w:t>
      </w:r>
      <w:r w:rsidR="0053226A">
        <w:rPr>
          <w:noProof/>
        </w:rPr>
        <w:fldChar w:fldCharType="end"/>
      </w:r>
    </w:p>
    <w:p w:rsidR="00885124" w:rsidRDefault="00885124">
      <w:pPr>
        <w:pStyle w:val="TOC2"/>
        <w:tabs>
          <w:tab w:val="left" w:pos="880"/>
          <w:tab w:val="right" w:leader="dot" w:pos="8211"/>
        </w:tabs>
        <w:rPr>
          <w:rFonts w:asciiTheme="minorHAnsi" w:eastAsiaTheme="minorEastAsia" w:hAnsiTheme="minorHAnsi" w:cstheme="minorBidi"/>
          <w:smallCaps w:val="0"/>
          <w:noProof/>
          <w:sz w:val="22"/>
          <w:szCs w:val="22"/>
          <w:lang w:eastAsia="en-AU"/>
        </w:rPr>
      </w:pPr>
      <w:r>
        <w:rPr>
          <w:noProof/>
        </w:rPr>
        <w:t>3.3</w:t>
      </w:r>
      <w:r>
        <w:rPr>
          <w:rFonts w:asciiTheme="minorHAnsi" w:eastAsiaTheme="minorEastAsia" w:hAnsiTheme="minorHAnsi" w:cstheme="minorBidi"/>
          <w:smallCaps w:val="0"/>
          <w:noProof/>
          <w:sz w:val="22"/>
          <w:szCs w:val="22"/>
          <w:lang w:eastAsia="en-AU"/>
        </w:rPr>
        <w:tab/>
      </w:r>
      <w:r>
        <w:rPr>
          <w:noProof/>
        </w:rPr>
        <w:t>Rates adopted for 2012/13</w:t>
      </w:r>
      <w:r>
        <w:rPr>
          <w:noProof/>
        </w:rPr>
        <w:tab/>
      </w:r>
      <w:r w:rsidR="0053226A">
        <w:rPr>
          <w:noProof/>
        </w:rPr>
        <w:fldChar w:fldCharType="begin"/>
      </w:r>
      <w:r>
        <w:rPr>
          <w:noProof/>
        </w:rPr>
        <w:instrText xml:space="preserve"> PAGEREF _Toc346891238 \h </w:instrText>
      </w:r>
      <w:r w:rsidR="0053226A">
        <w:rPr>
          <w:noProof/>
        </w:rPr>
      </w:r>
      <w:r w:rsidR="0053226A">
        <w:rPr>
          <w:noProof/>
        </w:rPr>
        <w:fldChar w:fldCharType="separate"/>
      </w:r>
      <w:r w:rsidR="003A2FF4">
        <w:rPr>
          <w:noProof/>
        </w:rPr>
        <w:t>7</w:t>
      </w:r>
      <w:r w:rsidR="0053226A">
        <w:rPr>
          <w:noProof/>
        </w:rPr>
        <w:fldChar w:fldCharType="end"/>
      </w:r>
    </w:p>
    <w:p w:rsidR="00885124" w:rsidRDefault="00885124">
      <w:pPr>
        <w:pStyle w:val="TOC2"/>
        <w:tabs>
          <w:tab w:val="left" w:pos="880"/>
          <w:tab w:val="right" w:leader="dot" w:pos="8211"/>
        </w:tabs>
        <w:rPr>
          <w:rFonts w:asciiTheme="minorHAnsi" w:eastAsiaTheme="minorEastAsia" w:hAnsiTheme="minorHAnsi" w:cstheme="minorBidi"/>
          <w:smallCaps w:val="0"/>
          <w:noProof/>
          <w:sz w:val="22"/>
          <w:szCs w:val="22"/>
          <w:lang w:eastAsia="en-AU"/>
        </w:rPr>
      </w:pPr>
      <w:r>
        <w:rPr>
          <w:noProof/>
        </w:rPr>
        <w:t>3.4</w:t>
      </w:r>
      <w:r>
        <w:rPr>
          <w:rFonts w:asciiTheme="minorHAnsi" w:eastAsiaTheme="minorEastAsia" w:hAnsiTheme="minorHAnsi" w:cstheme="minorBidi"/>
          <w:smallCaps w:val="0"/>
          <w:noProof/>
          <w:sz w:val="22"/>
          <w:szCs w:val="22"/>
          <w:lang w:eastAsia="en-AU"/>
        </w:rPr>
        <w:tab/>
      </w:r>
      <w:r>
        <w:rPr>
          <w:noProof/>
        </w:rPr>
        <w:t>Building data through a timesheet collation approach</w:t>
      </w:r>
      <w:r>
        <w:rPr>
          <w:noProof/>
        </w:rPr>
        <w:tab/>
      </w:r>
      <w:r w:rsidR="0053226A">
        <w:rPr>
          <w:noProof/>
        </w:rPr>
        <w:fldChar w:fldCharType="begin"/>
      </w:r>
      <w:r>
        <w:rPr>
          <w:noProof/>
        </w:rPr>
        <w:instrText xml:space="preserve"> PAGEREF _Toc346891239 \h </w:instrText>
      </w:r>
      <w:r w:rsidR="0053226A">
        <w:rPr>
          <w:noProof/>
        </w:rPr>
      </w:r>
      <w:r w:rsidR="0053226A">
        <w:rPr>
          <w:noProof/>
        </w:rPr>
        <w:fldChar w:fldCharType="separate"/>
      </w:r>
      <w:r w:rsidR="003A2FF4">
        <w:rPr>
          <w:noProof/>
        </w:rPr>
        <w:t>7</w:t>
      </w:r>
      <w:r w:rsidR="0053226A">
        <w:rPr>
          <w:noProof/>
        </w:rPr>
        <w:fldChar w:fldCharType="end"/>
      </w:r>
    </w:p>
    <w:p w:rsidR="00885124" w:rsidRDefault="00885124">
      <w:pPr>
        <w:pStyle w:val="TOC1"/>
        <w:tabs>
          <w:tab w:val="left" w:pos="440"/>
          <w:tab w:val="right" w:leader="dot" w:pos="8211"/>
        </w:tabs>
        <w:rPr>
          <w:rFonts w:asciiTheme="minorHAnsi" w:eastAsiaTheme="minorEastAsia" w:hAnsiTheme="minorHAnsi" w:cstheme="minorBidi"/>
          <w:b w:val="0"/>
          <w:caps w:val="0"/>
          <w:noProof/>
          <w:sz w:val="22"/>
          <w:szCs w:val="22"/>
          <w:lang w:eastAsia="en-AU"/>
        </w:rPr>
      </w:pPr>
      <w:r>
        <w:rPr>
          <w:noProof/>
        </w:rPr>
        <w:t>4</w:t>
      </w:r>
      <w:r>
        <w:rPr>
          <w:rFonts w:asciiTheme="minorHAnsi" w:eastAsiaTheme="minorEastAsia" w:hAnsiTheme="minorHAnsi" w:cstheme="minorBidi"/>
          <w:b w:val="0"/>
          <w:caps w:val="0"/>
          <w:noProof/>
          <w:sz w:val="22"/>
          <w:szCs w:val="22"/>
          <w:lang w:eastAsia="en-AU"/>
        </w:rPr>
        <w:tab/>
      </w:r>
      <w:r>
        <w:rPr>
          <w:noProof/>
        </w:rPr>
        <w:t>Sample Methodology and Criteria</w:t>
      </w:r>
      <w:r>
        <w:rPr>
          <w:noProof/>
        </w:rPr>
        <w:tab/>
      </w:r>
      <w:r w:rsidR="0053226A">
        <w:rPr>
          <w:noProof/>
        </w:rPr>
        <w:fldChar w:fldCharType="begin"/>
      </w:r>
      <w:r>
        <w:rPr>
          <w:noProof/>
        </w:rPr>
        <w:instrText xml:space="preserve"> PAGEREF _Toc346891240 \h </w:instrText>
      </w:r>
      <w:r w:rsidR="0053226A">
        <w:rPr>
          <w:noProof/>
        </w:rPr>
      </w:r>
      <w:r w:rsidR="0053226A">
        <w:rPr>
          <w:noProof/>
        </w:rPr>
        <w:fldChar w:fldCharType="separate"/>
      </w:r>
      <w:r w:rsidR="003A2FF4">
        <w:rPr>
          <w:noProof/>
        </w:rPr>
        <w:t>8</w:t>
      </w:r>
      <w:r w:rsidR="0053226A">
        <w:rPr>
          <w:noProof/>
        </w:rPr>
        <w:fldChar w:fldCharType="end"/>
      </w:r>
    </w:p>
    <w:p w:rsidR="00885124" w:rsidRDefault="00885124">
      <w:pPr>
        <w:pStyle w:val="TOC2"/>
        <w:tabs>
          <w:tab w:val="left" w:pos="880"/>
          <w:tab w:val="right" w:leader="dot" w:pos="8211"/>
        </w:tabs>
        <w:rPr>
          <w:rFonts w:asciiTheme="minorHAnsi" w:eastAsiaTheme="minorEastAsia" w:hAnsiTheme="minorHAnsi" w:cstheme="minorBidi"/>
          <w:smallCaps w:val="0"/>
          <w:noProof/>
          <w:sz w:val="22"/>
          <w:szCs w:val="22"/>
          <w:lang w:eastAsia="en-AU"/>
        </w:rPr>
      </w:pPr>
      <w:r>
        <w:rPr>
          <w:noProof/>
        </w:rPr>
        <w:t>4.1</w:t>
      </w:r>
      <w:r>
        <w:rPr>
          <w:rFonts w:asciiTheme="minorHAnsi" w:eastAsiaTheme="minorEastAsia" w:hAnsiTheme="minorHAnsi" w:cstheme="minorBidi"/>
          <w:smallCaps w:val="0"/>
          <w:noProof/>
          <w:sz w:val="22"/>
          <w:szCs w:val="22"/>
          <w:lang w:eastAsia="en-AU"/>
        </w:rPr>
        <w:tab/>
      </w:r>
      <w:r>
        <w:rPr>
          <w:noProof/>
        </w:rPr>
        <w:t>Scope</w:t>
      </w:r>
      <w:r>
        <w:rPr>
          <w:noProof/>
        </w:rPr>
        <w:tab/>
      </w:r>
      <w:r w:rsidR="0053226A">
        <w:rPr>
          <w:noProof/>
        </w:rPr>
        <w:fldChar w:fldCharType="begin"/>
      </w:r>
      <w:r>
        <w:rPr>
          <w:noProof/>
        </w:rPr>
        <w:instrText xml:space="preserve"> PAGEREF _Toc346891241 \h </w:instrText>
      </w:r>
      <w:r w:rsidR="0053226A">
        <w:rPr>
          <w:noProof/>
        </w:rPr>
      </w:r>
      <w:r w:rsidR="0053226A">
        <w:rPr>
          <w:noProof/>
        </w:rPr>
        <w:fldChar w:fldCharType="separate"/>
      </w:r>
      <w:r w:rsidR="003A2FF4">
        <w:rPr>
          <w:noProof/>
        </w:rPr>
        <w:t>8</w:t>
      </w:r>
      <w:r w:rsidR="0053226A">
        <w:rPr>
          <w:noProof/>
        </w:rPr>
        <w:fldChar w:fldCharType="end"/>
      </w:r>
    </w:p>
    <w:p w:rsidR="00885124" w:rsidRDefault="00885124">
      <w:pPr>
        <w:pStyle w:val="TOC2"/>
        <w:tabs>
          <w:tab w:val="left" w:pos="880"/>
          <w:tab w:val="right" w:leader="dot" w:pos="8211"/>
        </w:tabs>
        <w:rPr>
          <w:rFonts w:asciiTheme="minorHAnsi" w:eastAsiaTheme="minorEastAsia" w:hAnsiTheme="minorHAnsi" w:cstheme="minorBidi"/>
          <w:smallCaps w:val="0"/>
          <w:noProof/>
          <w:sz w:val="22"/>
          <w:szCs w:val="22"/>
          <w:lang w:eastAsia="en-AU"/>
        </w:rPr>
      </w:pPr>
      <w:r>
        <w:rPr>
          <w:noProof/>
        </w:rPr>
        <w:t>4.2</w:t>
      </w:r>
      <w:r>
        <w:rPr>
          <w:rFonts w:asciiTheme="minorHAnsi" w:eastAsiaTheme="minorEastAsia" w:hAnsiTheme="minorHAnsi" w:cstheme="minorBidi"/>
          <w:smallCaps w:val="0"/>
          <w:noProof/>
          <w:sz w:val="22"/>
          <w:szCs w:val="22"/>
          <w:lang w:eastAsia="en-AU"/>
        </w:rPr>
        <w:tab/>
      </w:r>
      <w:r>
        <w:rPr>
          <w:noProof/>
        </w:rPr>
        <w:t>Timing</w:t>
      </w:r>
      <w:r>
        <w:rPr>
          <w:noProof/>
        </w:rPr>
        <w:tab/>
      </w:r>
      <w:r w:rsidR="0053226A">
        <w:rPr>
          <w:noProof/>
        </w:rPr>
        <w:fldChar w:fldCharType="begin"/>
      </w:r>
      <w:r>
        <w:rPr>
          <w:noProof/>
        </w:rPr>
        <w:instrText xml:space="preserve"> PAGEREF _Toc346891242 \h </w:instrText>
      </w:r>
      <w:r w:rsidR="0053226A">
        <w:rPr>
          <w:noProof/>
        </w:rPr>
      </w:r>
      <w:r w:rsidR="0053226A">
        <w:rPr>
          <w:noProof/>
        </w:rPr>
        <w:fldChar w:fldCharType="separate"/>
      </w:r>
      <w:r w:rsidR="003A2FF4">
        <w:rPr>
          <w:noProof/>
        </w:rPr>
        <w:t>9</w:t>
      </w:r>
      <w:r w:rsidR="0053226A">
        <w:rPr>
          <w:noProof/>
        </w:rPr>
        <w:fldChar w:fldCharType="end"/>
      </w:r>
    </w:p>
    <w:p w:rsidR="00885124" w:rsidRDefault="00885124">
      <w:pPr>
        <w:pStyle w:val="TOC2"/>
        <w:tabs>
          <w:tab w:val="left" w:pos="880"/>
          <w:tab w:val="right" w:leader="dot" w:pos="8211"/>
        </w:tabs>
        <w:rPr>
          <w:rFonts w:asciiTheme="minorHAnsi" w:eastAsiaTheme="minorEastAsia" w:hAnsiTheme="minorHAnsi" w:cstheme="minorBidi"/>
          <w:smallCaps w:val="0"/>
          <w:noProof/>
          <w:sz w:val="22"/>
          <w:szCs w:val="22"/>
          <w:lang w:eastAsia="en-AU"/>
        </w:rPr>
      </w:pPr>
      <w:r>
        <w:rPr>
          <w:noProof/>
        </w:rPr>
        <w:t>4.3</w:t>
      </w:r>
      <w:r>
        <w:rPr>
          <w:rFonts w:asciiTheme="minorHAnsi" w:eastAsiaTheme="minorEastAsia" w:hAnsiTheme="minorHAnsi" w:cstheme="minorBidi"/>
          <w:smallCaps w:val="0"/>
          <w:noProof/>
          <w:sz w:val="22"/>
          <w:szCs w:val="22"/>
          <w:lang w:eastAsia="en-AU"/>
        </w:rPr>
        <w:tab/>
      </w:r>
      <w:r>
        <w:rPr>
          <w:noProof/>
        </w:rPr>
        <w:t>Normalisation of data</w:t>
      </w:r>
      <w:r>
        <w:rPr>
          <w:noProof/>
        </w:rPr>
        <w:tab/>
      </w:r>
      <w:r w:rsidR="0053226A">
        <w:rPr>
          <w:noProof/>
        </w:rPr>
        <w:fldChar w:fldCharType="begin"/>
      </w:r>
      <w:r>
        <w:rPr>
          <w:noProof/>
        </w:rPr>
        <w:instrText xml:space="preserve"> PAGEREF _Toc346891243 \h </w:instrText>
      </w:r>
      <w:r w:rsidR="0053226A">
        <w:rPr>
          <w:noProof/>
        </w:rPr>
      </w:r>
      <w:r w:rsidR="0053226A">
        <w:rPr>
          <w:noProof/>
        </w:rPr>
        <w:fldChar w:fldCharType="separate"/>
      </w:r>
      <w:r w:rsidR="003A2FF4">
        <w:rPr>
          <w:noProof/>
        </w:rPr>
        <w:t>9</w:t>
      </w:r>
      <w:r w:rsidR="0053226A">
        <w:rPr>
          <w:noProof/>
        </w:rPr>
        <w:fldChar w:fldCharType="end"/>
      </w:r>
    </w:p>
    <w:p w:rsidR="00885124" w:rsidRDefault="00885124">
      <w:pPr>
        <w:pStyle w:val="TOC3"/>
        <w:tabs>
          <w:tab w:val="left" w:pos="1320"/>
          <w:tab w:val="right" w:leader="dot" w:pos="8211"/>
        </w:tabs>
        <w:rPr>
          <w:rFonts w:asciiTheme="minorHAnsi" w:eastAsiaTheme="minorEastAsia" w:hAnsiTheme="minorHAnsi" w:cstheme="minorBidi"/>
          <w:i w:val="0"/>
          <w:noProof/>
          <w:sz w:val="22"/>
          <w:szCs w:val="22"/>
          <w:lang w:eastAsia="en-AU"/>
        </w:rPr>
      </w:pPr>
      <w:r w:rsidRPr="00512824">
        <w:rPr>
          <w:rFonts w:cs="Arial"/>
          <w:noProof/>
          <w:color w:val="00B0F0"/>
        </w:rPr>
        <w:t>4.3.1</w:t>
      </w:r>
      <w:r>
        <w:rPr>
          <w:rFonts w:asciiTheme="minorHAnsi" w:eastAsiaTheme="minorEastAsia" w:hAnsiTheme="minorHAnsi" w:cstheme="minorBidi"/>
          <w:i w:val="0"/>
          <w:noProof/>
          <w:sz w:val="22"/>
          <w:szCs w:val="22"/>
          <w:lang w:eastAsia="en-AU"/>
        </w:rPr>
        <w:tab/>
      </w:r>
      <w:r w:rsidRPr="00512824">
        <w:rPr>
          <w:rFonts w:cs="Arial"/>
          <w:noProof/>
          <w:color w:val="00B0F0"/>
        </w:rPr>
        <w:t>From three months to annualised data</w:t>
      </w:r>
      <w:r>
        <w:rPr>
          <w:noProof/>
        </w:rPr>
        <w:tab/>
      </w:r>
      <w:r w:rsidR="0053226A">
        <w:rPr>
          <w:noProof/>
        </w:rPr>
        <w:fldChar w:fldCharType="begin"/>
      </w:r>
      <w:r>
        <w:rPr>
          <w:noProof/>
        </w:rPr>
        <w:instrText xml:space="preserve"> PAGEREF _Toc346891244 \h </w:instrText>
      </w:r>
      <w:r w:rsidR="0053226A">
        <w:rPr>
          <w:noProof/>
        </w:rPr>
      </w:r>
      <w:r w:rsidR="0053226A">
        <w:rPr>
          <w:noProof/>
        </w:rPr>
        <w:fldChar w:fldCharType="separate"/>
      </w:r>
      <w:r w:rsidR="003A2FF4">
        <w:rPr>
          <w:noProof/>
        </w:rPr>
        <w:t>9</w:t>
      </w:r>
      <w:r w:rsidR="0053226A">
        <w:rPr>
          <w:noProof/>
        </w:rPr>
        <w:fldChar w:fldCharType="end"/>
      </w:r>
    </w:p>
    <w:p w:rsidR="00885124" w:rsidRDefault="00885124">
      <w:pPr>
        <w:pStyle w:val="TOC3"/>
        <w:tabs>
          <w:tab w:val="left" w:pos="1320"/>
          <w:tab w:val="right" w:leader="dot" w:pos="8211"/>
        </w:tabs>
        <w:rPr>
          <w:rFonts w:asciiTheme="minorHAnsi" w:eastAsiaTheme="minorEastAsia" w:hAnsiTheme="minorHAnsi" w:cstheme="minorBidi"/>
          <w:i w:val="0"/>
          <w:noProof/>
          <w:sz w:val="22"/>
          <w:szCs w:val="22"/>
          <w:lang w:eastAsia="en-AU"/>
        </w:rPr>
      </w:pPr>
      <w:r w:rsidRPr="00512824">
        <w:rPr>
          <w:rFonts w:cs="Arial"/>
          <w:noProof/>
          <w:color w:val="00B0F0"/>
        </w:rPr>
        <w:t>4.3.2</w:t>
      </w:r>
      <w:r>
        <w:rPr>
          <w:rFonts w:asciiTheme="minorHAnsi" w:eastAsiaTheme="minorEastAsia" w:hAnsiTheme="minorHAnsi" w:cstheme="minorBidi"/>
          <w:i w:val="0"/>
          <w:noProof/>
          <w:sz w:val="22"/>
          <w:szCs w:val="22"/>
          <w:lang w:eastAsia="en-AU"/>
        </w:rPr>
        <w:tab/>
      </w:r>
      <w:r w:rsidRPr="00512824">
        <w:rPr>
          <w:rFonts w:cs="Arial"/>
          <w:noProof/>
          <w:color w:val="00B0F0"/>
        </w:rPr>
        <w:t>Hourly Rates</w:t>
      </w:r>
      <w:r>
        <w:rPr>
          <w:noProof/>
        </w:rPr>
        <w:tab/>
      </w:r>
      <w:r w:rsidR="0053226A">
        <w:rPr>
          <w:noProof/>
        </w:rPr>
        <w:fldChar w:fldCharType="begin"/>
      </w:r>
      <w:r>
        <w:rPr>
          <w:noProof/>
        </w:rPr>
        <w:instrText xml:space="preserve"> PAGEREF _Toc346891245 \h </w:instrText>
      </w:r>
      <w:r w:rsidR="0053226A">
        <w:rPr>
          <w:noProof/>
        </w:rPr>
      </w:r>
      <w:r w:rsidR="0053226A">
        <w:rPr>
          <w:noProof/>
        </w:rPr>
        <w:fldChar w:fldCharType="separate"/>
      </w:r>
      <w:r w:rsidR="003A2FF4">
        <w:rPr>
          <w:noProof/>
        </w:rPr>
        <w:t>10</w:t>
      </w:r>
      <w:r w:rsidR="0053226A">
        <w:rPr>
          <w:noProof/>
        </w:rPr>
        <w:fldChar w:fldCharType="end"/>
      </w:r>
    </w:p>
    <w:p w:rsidR="00885124" w:rsidRDefault="00885124">
      <w:pPr>
        <w:pStyle w:val="TOC1"/>
        <w:tabs>
          <w:tab w:val="left" w:pos="440"/>
          <w:tab w:val="right" w:leader="dot" w:pos="8211"/>
        </w:tabs>
        <w:rPr>
          <w:rFonts w:asciiTheme="minorHAnsi" w:eastAsiaTheme="minorEastAsia" w:hAnsiTheme="minorHAnsi" w:cstheme="minorBidi"/>
          <w:b w:val="0"/>
          <w:caps w:val="0"/>
          <w:noProof/>
          <w:sz w:val="22"/>
          <w:szCs w:val="22"/>
          <w:lang w:eastAsia="en-AU"/>
        </w:rPr>
      </w:pPr>
      <w:r>
        <w:rPr>
          <w:noProof/>
        </w:rPr>
        <w:t>5</w:t>
      </w:r>
      <w:r>
        <w:rPr>
          <w:rFonts w:asciiTheme="minorHAnsi" w:eastAsiaTheme="minorEastAsia" w:hAnsiTheme="minorHAnsi" w:cstheme="minorBidi"/>
          <w:b w:val="0"/>
          <w:caps w:val="0"/>
          <w:noProof/>
          <w:sz w:val="22"/>
          <w:szCs w:val="22"/>
          <w:lang w:eastAsia="en-AU"/>
        </w:rPr>
        <w:tab/>
      </w:r>
      <w:r>
        <w:rPr>
          <w:noProof/>
        </w:rPr>
        <w:t>Appendix 1 – Proposed Adjustments</w:t>
      </w:r>
      <w:r>
        <w:rPr>
          <w:noProof/>
        </w:rPr>
        <w:tab/>
      </w:r>
      <w:r w:rsidR="0053226A">
        <w:rPr>
          <w:noProof/>
        </w:rPr>
        <w:fldChar w:fldCharType="begin"/>
      </w:r>
      <w:r>
        <w:rPr>
          <w:noProof/>
        </w:rPr>
        <w:instrText xml:space="preserve"> PAGEREF _Toc346891246 \h </w:instrText>
      </w:r>
      <w:r w:rsidR="0053226A">
        <w:rPr>
          <w:noProof/>
        </w:rPr>
      </w:r>
      <w:r w:rsidR="0053226A">
        <w:rPr>
          <w:noProof/>
        </w:rPr>
        <w:fldChar w:fldCharType="separate"/>
      </w:r>
      <w:r w:rsidR="003A2FF4">
        <w:rPr>
          <w:noProof/>
        </w:rPr>
        <w:t>11</w:t>
      </w:r>
      <w:r w:rsidR="0053226A">
        <w:rPr>
          <w:noProof/>
        </w:rPr>
        <w:fldChar w:fldCharType="end"/>
      </w:r>
    </w:p>
    <w:p w:rsidR="00885124" w:rsidRDefault="00885124">
      <w:pPr>
        <w:pStyle w:val="TOC2"/>
        <w:tabs>
          <w:tab w:val="left" w:pos="880"/>
          <w:tab w:val="right" w:leader="dot" w:pos="8211"/>
        </w:tabs>
        <w:rPr>
          <w:rFonts w:asciiTheme="minorHAnsi" w:eastAsiaTheme="minorEastAsia" w:hAnsiTheme="minorHAnsi" w:cstheme="minorBidi"/>
          <w:smallCaps w:val="0"/>
          <w:noProof/>
          <w:sz w:val="22"/>
          <w:szCs w:val="22"/>
          <w:lang w:eastAsia="en-AU"/>
        </w:rPr>
      </w:pPr>
      <w:r>
        <w:rPr>
          <w:noProof/>
        </w:rPr>
        <w:t>5.1</w:t>
      </w:r>
      <w:r>
        <w:rPr>
          <w:rFonts w:asciiTheme="minorHAnsi" w:eastAsiaTheme="minorEastAsia" w:hAnsiTheme="minorHAnsi" w:cstheme="minorBidi"/>
          <w:smallCaps w:val="0"/>
          <w:noProof/>
          <w:sz w:val="22"/>
          <w:szCs w:val="22"/>
          <w:lang w:eastAsia="en-AU"/>
        </w:rPr>
        <w:tab/>
      </w:r>
      <w:r>
        <w:rPr>
          <w:noProof/>
        </w:rPr>
        <w:t>Adjustments Made</w:t>
      </w:r>
      <w:r>
        <w:rPr>
          <w:noProof/>
        </w:rPr>
        <w:tab/>
      </w:r>
      <w:r w:rsidR="0053226A">
        <w:rPr>
          <w:noProof/>
        </w:rPr>
        <w:fldChar w:fldCharType="begin"/>
      </w:r>
      <w:r>
        <w:rPr>
          <w:noProof/>
        </w:rPr>
        <w:instrText xml:space="preserve"> PAGEREF _Toc346891247 \h </w:instrText>
      </w:r>
      <w:r w:rsidR="0053226A">
        <w:rPr>
          <w:noProof/>
        </w:rPr>
      </w:r>
      <w:r w:rsidR="0053226A">
        <w:rPr>
          <w:noProof/>
        </w:rPr>
        <w:fldChar w:fldCharType="separate"/>
      </w:r>
      <w:r w:rsidR="003A2FF4">
        <w:rPr>
          <w:noProof/>
        </w:rPr>
        <w:t>11</w:t>
      </w:r>
      <w:r w:rsidR="0053226A">
        <w:rPr>
          <w:noProof/>
        </w:rPr>
        <w:fldChar w:fldCharType="end"/>
      </w:r>
    </w:p>
    <w:p w:rsidR="00885124" w:rsidRDefault="00885124">
      <w:pPr>
        <w:pStyle w:val="TOC3"/>
        <w:tabs>
          <w:tab w:val="left" w:pos="1320"/>
          <w:tab w:val="right" w:leader="dot" w:pos="8211"/>
        </w:tabs>
        <w:rPr>
          <w:rFonts w:asciiTheme="minorHAnsi" w:eastAsiaTheme="minorEastAsia" w:hAnsiTheme="minorHAnsi" w:cstheme="minorBidi"/>
          <w:i w:val="0"/>
          <w:noProof/>
          <w:sz w:val="22"/>
          <w:szCs w:val="22"/>
          <w:lang w:eastAsia="en-AU"/>
        </w:rPr>
      </w:pPr>
      <w:r w:rsidRPr="00512824">
        <w:rPr>
          <w:rFonts w:cs="Arial"/>
          <w:noProof/>
          <w:color w:val="00B0F0"/>
        </w:rPr>
        <w:t>5.1.1</w:t>
      </w:r>
      <w:r>
        <w:rPr>
          <w:rFonts w:asciiTheme="minorHAnsi" w:eastAsiaTheme="minorEastAsia" w:hAnsiTheme="minorHAnsi" w:cstheme="minorBidi"/>
          <w:i w:val="0"/>
          <w:noProof/>
          <w:sz w:val="22"/>
          <w:szCs w:val="22"/>
          <w:lang w:eastAsia="en-AU"/>
        </w:rPr>
        <w:tab/>
      </w:r>
      <w:r w:rsidRPr="00512824">
        <w:rPr>
          <w:rFonts w:cs="Arial"/>
          <w:noProof/>
          <w:color w:val="00B0F0"/>
        </w:rPr>
        <w:t>NMBA Renewal Period</w:t>
      </w:r>
      <w:r>
        <w:rPr>
          <w:noProof/>
        </w:rPr>
        <w:tab/>
      </w:r>
      <w:r w:rsidR="0053226A">
        <w:rPr>
          <w:noProof/>
        </w:rPr>
        <w:fldChar w:fldCharType="begin"/>
      </w:r>
      <w:r>
        <w:rPr>
          <w:noProof/>
        </w:rPr>
        <w:instrText xml:space="preserve"> PAGEREF _Toc346891248 \h </w:instrText>
      </w:r>
      <w:r w:rsidR="0053226A">
        <w:rPr>
          <w:noProof/>
        </w:rPr>
      </w:r>
      <w:r w:rsidR="0053226A">
        <w:rPr>
          <w:noProof/>
        </w:rPr>
        <w:fldChar w:fldCharType="separate"/>
      </w:r>
      <w:r w:rsidR="003A2FF4">
        <w:rPr>
          <w:noProof/>
        </w:rPr>
        <w:t>11</w:t>
      </w:r>
      <w:r w:rsidR="0053226A">
        <w:rPr>
          <w:noProof/>
        </w:rPr>
        <w:fldChar w:fldCharType="end"/>
      </w:r>
    </w:p>
    <w:p w:rsidR="00885124" w:rsidRDefault="00885124">
      <w:pPr>
        <w:pStyle w:val="TOC3"/>
        <w:tabs>
          <w:tab w:val="left" w:pos="1320"/>
          <w:tab w:val="right" w:leader="dot" w:pos="8211"/>
        </w:tabs>
        <w:rPr>
          <w:rFonts w:asciiTheme="minorHAnsi" w:eastAsiaTheme="minorEastAsia" w:hAnsiTheme="minorHAnsi" w:cstheme="minorBidi"/>
          <w:i w:val="0"/>
          <w:noProof/>
          <w:sz w:val="22"/>
          <w:szCs w:val="22"/>
          <w:lang w:eastAsia="en-AU"/>
        </w:rPr>
      </w:pPr>
      <w:r w:rsidRPr="00512824">
        <w:rPr>
          <w:rFonts w:cs="Arial"/>
          <w:noProof/>
          <w:color w:val="00B0F0"/>
        </w:rPr>
        <w:t>5.1.2</w:t>
      </w:r>
      <w:r>
        <w:rPr>
          <w:rFonts w:asciiTheme="minorHAnsi" w:eastAsiaTheme="minorEastAsia" w:hAnsiTheme="minorHAnsi" w:cstheme="minorBidi"/>
          <w:i w:val="0"/>
          <w:noProof/>
          <w:sz w:val="22"/>
          <w:szCs w:val="22"/>
          <w:lang w:eastAsia="en-AU"/>
        </w:rPr>
        <w:tab/>
      </w:r>
      <w:r w:rsidR="00A863FD" w:rsidRPr="00B75CE6">
        <w:rPr>
          <w:rFonts w:asciiTheme="minorHAnsi" w:eastAsiaTheme="minorEastAsia" w:hAnsiTheme="minorHAnsi" w:cstheme="minorBidi"/>
          <w:noProof/>
          <w:color w:val="00B0F0"/>
          <w:sz w:val="22"/>
          <w:szCs w:val="22"/>
          <w:lang w:eastAsia="en-AU"/>
        </w:rPr>
        <w:t xml:space="preserve">Staff </w:t>
      </w:r>
      <w:r w:rsidR="00416505" w:rsidRPr="00B75CE6">
        <w:rPr>
          <w:rFonts w:asciiTheme="minorHAnsi" w:eastAsiaTheme="minorEastAsia" w:hAnsiTheme="minorHAnsi" w:cstheme="minorBidi"/>
          <w:noProof/>
          <w:color w:val="00B0F0"/>
          <w:sz w:val="22"/>
          <w:szCs w:val="22"/>
          <w:lang w:eastAsia="en-AU"/>
        </w:rPr>
        <w:t>Identfied Primarily</w:t>
      </w:r>
      <w:r w:rsidR="00A863FD" w:rsidRPr="00B75CE6">
        <w:rPr>
          <w:rFonts w:asciiTheme="minorHAnsi" w:eastAsiaTheme="minorEastAsia" w:hAnsiTheme="minorHAnsi" w:cstheme="minorBidi"/>
          <w:noProof/>
          <w:color w:val="00B0F0"/>
          <w:sz w:val="22"/>
          <w:szCs w:val="22"/>
          <w:lang w:eastAsia="en-AU"/>
        </w:rPr>
        <w:t xml:space="preserve"> to a Specific Board</w:t>
      </w:r>
      <w:r>
        <w:rPr>
          <w:noProof/>
        </w:rPr>
        <w:tab/>
      </w:r>
      <w:r w:rsidR="0053226A">
        <w:rPr>
          <w:noProof/>
        </w:rPr>
        <w:fldChar w:fldCharType="begin"/>
      </w:r>
      <w:r>
        <w:rPr>
          <w:noProof/>
        </w:rPr>
        <w:instrText xml:space="preserve"> PAGEREF _Toc346891249 \h </w:instrText>
      </w:r>
      <w:r w:rsidR="0053226A">
        <w:rPr>
          <w:noProof/>
        </w:rPr>
      </w:r>
      <w:r w:rsidR="0053226A">
        <w:rPr>
          <w:noProof/>
        </w:rPr>
        <w:fldChar w:fldCharType="separate"/>
      </w:r>
      <w:r w:rsidR="003A2FF4">
        <w:rPr>
          <w:noProof/>
        </w:rPr>
        <w:t>11</w:t>
      </w:r>
      <w:r w:rsidR="0053226A">
        <w:rPr>
          <w:noProof/>
        </w:rPr>
        <w:fldChar w:fldCharType="end"/>
      </w:r>
    </w:p>
    <w:p w:rsidR="00885124" w:rsidRDefault="00885124">
      <w:pPr>
        <w:pStyle w:val="TOC2"/>
        <w:tabs>
          <w:tab w:val="left" w:pos="880"/>
          <w:tab w:val="right" w:leader="dot" w:pos="8211"/>
        </w:tabs>
        <w:rPr>
          <w:rFonts w:asciiTheme="minorHAnsi" w:eastAsiaTheme="minorEastAsia" w:hAnsiTheme="minorHAnsi" w:cstheme="minorBidi"/>
          <w:smallCaps w:val="0"/>
          <w:noProof/>
          <w:sz w:val="22"/>
          <w:szCs w:val="22"/>
          <w:lang w:eastAsia="en-AU"/>
        </w:rPr>
      </w:pPr>
      <w:r>
        <w:rPr>
          <w:noProof/>
        </w:rPr>
        <w:t>5.2</w:t>
      </w:r>
      <w:r>
        <w:rPr>
          <w:rFonts w:asciiTheme="minorHAnsi" w:eastAsiaTheme="minorEastAsia" w:hAnsiTheme="minorHAnsi" w:cstheme="minorBidi"/>
          <w:smallCaps w:val="0"/>
          <w:noProof/>
          <w:sz w:val="22"/>
          <w:szCs w:val="22"/>
          <w:lang w:eastAsia="en-AU"/>
        </w:rPr>
        <w:tab/>
      </w:r>
      <w:r>
        <w:rPr>
          <w:noProof/>
        </w:rPr>
        <w:t>Adjustments Not Considered</w:t>
      </w:r>
      <w:r>
        <w:rPr>
          <w:noProof/>
        </w:rPr>
        <w:tab/>
      </w:r>
      <w:r w:rsidR="0053226A">
        <w:rPr>
          <w:noProof/>
        </w:rPr>
        <w:fldChar w:fldCharType="begin"/>
      </w:r>
      <w:r>
        <w:rPr>
          <w:noProof/>
        </w:rPr>
        <w:instrText xml:space="preserve"> PAGEREF _Toc346891250 \h </w:instrText>
      </w:r>
      <w:r w:rsidR="0053226A">
        <w:rPr>
          <w:noProof/>
        </w:rPr>
      </w:r>
      <w:r w:rsidR="0053226A">
        <w:rPr>
          <w:noProof/>
        </w:rPr>
        <w:fldChar w:fldCharType="separate"/>
      </w:r>
      <w:r w:rsidR="003A2FF4">
        <w:rPr>
          <w:noProof/>
        </w:rPr>
        <w:t>11</w:t>
      </w:r>
      <w:r w:rsidR="0053226A">
        <w:rPr>
          <w:noProof/>
        </w:rPr>
        <w:fldChar w:fldCharType="end"/>
      </w:r>
    </w:p>
    <w:p w:rsidR="00885124" w:rsidRDefault="00885124">
      <w:pPr>
        <w:pStyle w:val="TOC3"/>
        <w:tabs>
          <w:tab w:val="left" w:pos="1320"/>
          <w:tab w:val="right" w:leader="dot" w:pos="8211"/>
        </w:tabs>
        <w:rPr>
          <w:rFonts w:asciiTheme="minorHAnsi" w:eastAsiaTheme="minorEastAsia" w:hAnsiTheme="minorHAnsi" w:cstheme="minorBidi"/>
          <w:i w:val="0"/>
          <w:noProof/>
          <w:sz w:val="22"/>
          <w:szCs w:val="22"/>
          <w:lang w:eastAsia="en-AU"/>
        </w:rPr>
      </w:pPr>
      <w:r w:rsidRPr="00512824">
        <w:rPr>
          <w:rFonts w:cs="Arial"/>
          <w:noProof/>
          <w:color w:val="00B0F0"/>
        </w:rPr>
        <w:t>5.2.1</w:t>
      </w:r>
      <w:r>
        <w:rPr>
          <w:rFonts w:asciiTheme="minorHAnsi" w:eastAsiaTheme="minorEastAsia" w:hAnsiTheme="minorHAnsi" w:cstheme="minorBidi"/>
          <w:i w:val="0"/>
          <w:noProof/>
          <w:sz w:val="22"/>
          <w:szCs w:val="22"/>
          <w:lang w:eastAsia="en-AU"/>
        </w:rPr>
        <w:tab/>
      </w:r>
      <w:r w:rsidRPr="00512824">
        <w:rPr>
          <w:rFonts w:cs="Arial"/>
          <w:noProof/>
          <w:color w:val="00B0F0"/>
        </w:rPr>
        <w:t>2012 Professions notification effort</w:t>
      </w:r>
      <w:r>
        <w:rPr>
          <w:noProof/>
        </w:rPr>
        <w:tab/>
      </w:r>
      <w:r w:rsidR="0053226A">
        <w:rPr>
          <w:noProof/>
        </w:rPr>
        <w:fldChar w:fldCharType="begin"/>
      </w:r>
      <w:r>
        <w:rPr>
          <w:noProof/>
        </w:rPr>
        <w:instrText xml:space="preserve"> PAGEREF _Toc346891251 \h </w:instrText>
      </w:r>
      <w:r w:rsidR="0053226A">
        <w:rPr>
          <w:noProof/>
        </w:rPr>
      </w:r>
      <w:r w:rsidR="0053226A">
        <w:rPr>
          <w:noProof/>
        </w:rPr>
        <w:fldChar w:fldCharType="separate"/>
      </w:r>
      <w:r w:rsidR="003A2FF4">
        <w:rPr>
          <w:noProof/>
        </w:rPr>
        <w:t>11</w:t>
      </w:r>
      <w:r w:rsidR="0053226A">
        <w:rPr>
          <w:noProof/>
        </w:rPr>
        <w:fldChar w:fldCharType="end"/>
      </w:r>
    </w:p>
    <w:p w:rsidR="00885124" w:rsidRDefault="00885124">
      <w:pPr>
        <w:pStyle w:val="TOC3"/>
        <w:tabs>
          <w:tab w:val="left" w:pos="1320"/>
          <w:tab w:val="right" w:leader="dot" w:pos="8211"/>
        </w:tabs>
        <w:rPr>
          <w:rFonts w:asciiTheme="minorHAnsi" w:eastAsiaTheme="minorEastAsia" w:hAnsiTheme="minorHAnsi" w:cstheme="minorBidi"/>
          <w:i w:val="0"/>
          <w:noProof/>
          <w:sz w:val="22"/>
          <w:szCs w:val="22"/>
          <w:lang w:eastAsia="en-AU"/>
        </w:rPr>
      </w:pPr>
      <w:r w:rsidRPr="00512824">
        <w:rPr>
          <w:rFonts w:cs="Arial"/>
          <w:noProof/>
          <w:color w:val="00B0F0"/>
        </w:rPr>
        <w:t>5.2.2</w:t>
      </w:r>
      <w:r>
        <w:rPr>
          <w:rFonts w:asciiTheme="minorHAnsi" w:eastAsiaTheme="minorEastAsia" w:hAnsiTheme="minorHAnsi" w:cstheme="minorBidi"/>
          <w:i w:val="0"/>
          <w:noProof/>
          <w:sz w:val="22"/>
          <w:szCs w:val="22"/>
          <w:lang w:eastAsia="en-AU"/>
        </w:rPr>
        <w:tab/>
      </w:r>
      <w:r w:rsidRPr="00512824">
        <w:rPr>
          <w:rFonts w:cs="Arial"/>
          <w:noProof/>
          <w:color w:val="00B0F0"/>
        </w:rPr>
        <w:t>2012 Professions’ application assessment and processing transition effort</w:t>
      </w:r>
      <w:r>
        <w:rPr>
          <w:noProof/>
        </w:rPr>
        <w:tab/>
      </w:r>
      <w:r w:rsidR="0053226A">
        <w:rPr>
          <w:noProof/>
        </w:rPr>
        <w:fldChar w:fldCharType="begin"/>
      </w:r>
      <w:r>
        <w:rPr>
          <w:noProof/>
        </w:rPr>
        <w:instrText xml:space="preserve"> PAGEREF _Toc346891252 \h </w:instrText>
      </w:r>
      <w:r w:rsidR="0053226A">
        <w:rPr>
          <w:noProof/>
        </w:rPr>
      </w:r>
      <w:r w:rsidR="0053226A">
        <w:rPr>
          <w:noProof/>
        </w:rPr>
        <w:fldChar w:fldCharType="separate"/>
      </w:r>
      <w:r w:rsidR="003A2FF4">
        <w:rPr>
          <w:noProof/>
        </w:rPr>
        <w:t>12</w:t>
      </w:r>
      <w:r w:rsidR="0053226A">
        <w:rPr>
          <w:noProof/>
        </w:rPr>
        <w:fldChar w:fldCharType="end"/>
      </w:r>
    </w:p>
    <w:p w:rsidR="00885124" w:rsidRDefault="00885124">
      <w:pPr>
        <w:pStyle w:val="TOC3"/>
        <w:tabs>
          <w:tab w:val="left" w:pos="1320"/>
          <w:tab w:val="right" w:leader="dot" w:pos="8211"/>
        </w:tabs>
        <w:rPr>
          <w:rFonts w:asciiTheme="minorHAnsi" w:eastAsiaTheme="minorEastAsia" w:hAnsiTheme="minorHAnsi" w:cstheme="minorBidi"/>
          <w:i w:val="0"/>
          <w:noProof/>
          <w:sz w:val="22"/>
          <w:szCs w:val="22"/>
          <w:lang w:eastAsia="en-AU"/>
        </w:rPr>
      </w:pPr>
      <w:r w:rsidRPr="00512824">
        <w:rPr>
          <w:rFonts w:cs="Arial"/>
          <w:noProof/>
          <w:color w:val="00B0F0"/>
        </w:rPr>
        <w:t>5.2.3</w:t>
      </w:r>
      <w:r>
        <w:rPr>
          <w:rFonts w:asciiTheme="minorHAnsi" w:eastAsiaTheme="minorEastAsia" w:hAnsiTheme="minorHAnsi" w:cstheme="minorBidi"/>
          <w:i w:val="0"/>
          <w:noProof/>
          <w:sz w:val="22"/>
          <w:szCs w:val="22"/>
          <w:lang w:eastAsia="en-AU"/>
        </w:rPr>
        <w:tab/>
      </w:r>
      <w:r w:rsidRPr="00512824">
        <w:rPr>
          <w:rFonts w:cs="Arial"/>
          <w:noProof/>
          <w:color w:val="00B0F0"/>
        </w:rPr>
        <w:t>2012 Queensland Notification Project</w:t>
      </w:r>
      <w:r>
        <w:rPr>
          <w:noProof/>
        </w:rPr>
        <w:tab/>
      </w:r>
      <w:r w:rsidR="0053226A">
        <w:rPr>
          <w:noProof/>
        </w:rPr>
        <w:fldChar w:fldCharType="begin"/>
      </w:r>
      <w:r>
        <w:rPr>
          <w:noProof/>
        </w:rPr>
        <w:instrText xml:space="preserve"> PAGEREF _Toc346891253 \h </w:instrText>
      </w:r>
      <w:r w:rsidR="0053226A">
        <w:rPr>
          <w:noProof/>
        </w:rPr>
      </w:r>
      <w:r w:rsidR="0053226A">
        <w:rPr>
          <w:noProof/>
        </w:rPr>
        <w:fldChar w:fldCharType="separate"/>
      </w:r>
      <w:r w:rsidR="003A2FF4">
        <w:rPr>
          <w:noProof/>
        </w:rPr>
        <w:t>12</w:t>
      </w:r>
      <w:r w:rsidR="0053226A">
        <w:rPr>
          <w:noProof/>
        </w:rPr>
        <w:fldChar w:fldCharType="end"/>
      </w:r>
    </w:p>
    <w:p w:rsidR="00885124" w:rsidRDefault="00885124">
      <w:pPr>
        <w:pStyle w:val="TOC3"/>
        <w:tabs>
          <w:tab w:val="left" w:pos="1320"/>
          <w:tab w:val="right" w:leader="dot" w:pos="8211"/>
        </w:tabs>
        <w:rPr>
          <w:rFonts w:asciiTheme="minorHAnsi" w:eastAsiaTheme="minorEastAsia" w:hAnsiTheme="minorHAnsi" w:cstheme="minorBidi"/>
          <w:i w:val="0"/>
          <w:noProof/>
          <w:sz w:val="22"/>
          <w:szCs w:val="22"/>
          <w:lang w:eastAsia="en-AU"/>
        </w:rPr>
      </w:pPr>
      <w:r w:rsidRPr="00512824">
        <w:rPr>
          <w:rFonts w:cs="Arial"/>
          <w:noProof/>
          <w:color w:val="00B0F0"/>
        </w:rPr>
        <w:t>5.2.4</w:t>
      </w:r>
      <w:r>
        <w:rPr>
          <w:rFonts w:asciiTheme="minorHAnsi" w:eastAsiaTheme="minorEastAsia" w:hAnsiTheme="minorHAnsi" w:cstheme="minorBidi"/>
          <w:i w:val="0"/>
          <w:noProof/>
          <w:sz w:val="22"/>
          <w:szCs w:val="22"/>
          <w:lang w:eastAsia="en-AU"/>
        </w:rPr>
        <w:tab/>
      </w:r>
      <w:r w:rsidRPr="00512824">
        <w:rPr>
          <w:rFonts w:cs="Arial"/>
          <w:noProof/>
          <w:color w:val="00B0F0"/>
        </w:rPr>
        <w:t>Pharmacy Examinations</w:t>
      </w:r>
      <w:r>
        <w:rPr>
          <w:noProof/>
        </w:rPr>
        <w:tab/>
      </w:r>
      <w:r w:rsidR="0053226A">
        <w:rPr>
          <w:noProof/>
        </w:rPr>
        <w:fldChar w:fldCharType="begin"/>
      </w:r>
      <w:r>
        <w:rPr>
          <w:noProof/>
        </w:rPr>
        <w:instrText xml:space="preserve"> PAGEREF _Toc346891254 \h </w:instrText>
      </w:r>
      <w:r w:rsidR="0053226A">
        <w:rPr>
          <w:noProof/>
        </w:rPr>
      </w:r>
      <w:r w:rsidR="0053226A">
        <w:rPr>
          <w:noProof/>
        </w:rPr>
        <w:fldChar w:fldCharType="separate"/>
      </w:r>
      <w:r w:rsidR="003A2FF4">
        <w:rPr>
          <w:noProof/>
        </w:rPr>
        <w:t>12</w:t>
      </w:r>
      <w:r w:rsidR="0053226A">
        <w:rPr>
          <w:noProof/>
        </w:rPr>
        <w:fldChar w:fldCharType="end"/>
      </w:r>
    </w:p>
    <w:p w:rsidR="00885124" w:rsidRDefault="00885124">
      <w:pPr>
        <w:pStyle w:val="TOC3"/>
        <w:tabs>
          <w:tab w:val="left" w:pos="1320"/>
          <w:tab w:val="right" w:leader="dot" w:pos="8211"/>
        </w:tabs>
        <w:rPr>
          <w:rFonts w:asciiTheme="minorHAnsi" w:eastAsiaTheme="minorEastAsia" w:hAnsiTheme="minorHAnsi" w:cstheme="minorBidi"/>
          <w:i w:val="0"/>
          <w:noProof/>
          <w:sz w:val="22"/>
          <w:szCs w:val="22"/>
          <w:lang w:eastAsia="en-AU"/>
        </w:rPr>
      </w:pPr>
      <w:r w:rsidRPr="00512824">
        <w:rPr>
          <w:rFonts w:cs="Arial"/>
          <w:noProof/>
          <w:color w:val="00B0F0"/>
        </w:rPr>
        <w:t>5.2.5</w:t>
      </w:r>
      <w:r>
        <w:rPr>
          <w:rFonts w:asciiTheme="minorHAnsi" w:eastAsiaTheme="minorEastAsia" w:hAnsiTheme="minorHAnsi" w:cstheme="minorBidi"/>
          <w:i w:val="0"/>
          <w:noProof/>
          <w:sz w:val="22"/>
          <w:szCs w:val="22"/>
          <w:lang w:eastAsia="en-AU"/>
        </w:rPr>
        <w:tab/>
      </w:r>
      <w:r w:rsidRPr="00512824">
        <w:rPr>
          <w:rFonts w:cs="Arial"/>
          <w:noProof/>
          <w:color w:val="00B0F0"/>
        </w:rPr>
        <w:t>Pre-employment Structured Clinical Interview (PESCI) Fees</w:t>
      </w:r>
      <w:r>
        <w:rPr>
          <w:noProof/>
        </w:rPr>
        <w:tab/>
      </w:r>
      <w:r w:rsidR="0053226A">
        <w:rPr>
          <w:noProof/>
        </w:rPr>
        <w:fldChar w:fldCharType="begin"/>
      </w:r>
      <w:r>
        <w:rPr>
          <w:noProof/>
        </w:rPr>
        <w:instrText xml:space="preserve"> PAGEREF _Toc346891255 \h </w:instrText>
      </w:r>
      <w:r w:rsidR="0053226A">
        <w:rPr>
          <w:noProof/>
        </w:rPr>
      </w:r>
      <w:r w:rsidR="0053226A">
        <w:rPr>
          <w:noProof/>
        </w:rPr>
        <w:fldChar w:fldCharType="separate"/>
      </w:r>
      <w:r w:rsidR="003A2FF4">
        <w:rPr>
          <w:noProof/>
        </w:rPr>
        <w:t>13</w:t>
      </w:r>
      <w:r w:rsidR="0053226A">
        <w:rPr>
          <w:noProof/>
        </w:rPr>
        <w:fldChar w:fldCharType="end"/>
      </w:r>
    </w:p>
    <w:p w:rsidR="00885124" w:rsidRDefault="00885124">
      <w:pPr>
        <w:pStyle w:val="TOC3"/>
        <w:tabs>
          <w:tab w:val="left" w:pos="1320"/>
          <w:tab w:val="right" w:leader="dot" w:pos="8211"/>
        </w:tabs>
        <w:rPr>
          <w:rFonts w:asciiTheme="minorHAnsi" w:eastAsiaTheme="minorEastAsia" w:hAnsiTheme="minorHAnsi" w:cstheme="minorBidi"/>
          <w:i w:val="0"/>
          <w:noProof/>
          <w:sz w:val="22"/>
          <w:szCs w:val="22"/>
          <w:lang w:eastAsia="en-AU"/>
        </w:rPr>
      </w:pPr>
      <w:r w:rsidRPr="00512824">
        <w:rPr>
          <w:rFonts w:cs="Arial"/>
          <w:noProof/>
          <w:color w:val="00B0F0"/>
        </w:rPr>
        <w:t>5.2.6</w:t>
      </w:r>
      <w:r>
        <w:rPr>
          <w:rFonts w:asciiTheme="minorHAnsi" w:eastAsiaTheme="minorEastAsia" w:hAnsiTheme="minorHAnsi" w:cstheme="minorBidi"/>
          <w:i w:val="0"/>
          <w:noProof/>
          <w:sz w:val="22"/>
          <w:szCs w:val="22"/>
          <w:lang w:eastAsia="en-AU"/>
        </w:rPr>
        <w:tab/>
      </w:r>
      <w:r w:rsidRPr="00512824">
        <w:rPr>
          <w:rFonts w:cs="Arial"/>
          <w:noProof/>
          <w:color w:val="00B0F0"/>
        </w:rPr>
        <w:t>New activities for 2013/14</w:t>
      </w:r>
      <w:r>
        <w:rPr>
          <w:noProof/>
        </w:rPr>
        <w:tab/>
      </w:r>
      <w:r w:rsidR="0053226A">
        <w:rPr>
          <w:noProof/>
        </w:rPr>
        <w:fldChar w:fldCharType="begin"/>
      </w:r>
      <w:r>
        <w:rPr>
          <w:noProof/>
        </w:rPr>
        <w:instrText xml:space="preserve"> PAGEREF _Toc346891256 \h </w:instrText>
      </w:r>
      <w:r w:rsidR="0053226A">
        <w:rPr>
          <w:noProof/>
        </w:rPr>
      </w:r>
      <w:r w:rsidR="0053226A">
        <w:rPr>
          <w:noProof/>
        </w:rPr>
        <w:fldChar w:fldCharType="separate"/>
      </w:r>
      <w:r w:rsidR="003A2FF4">
        <w:rPr>
          <w:noProof/>
        </w:rPr>
        <w:t>13</w:t>
      </w:r>
      <w:r w:rsidR="0053226A">
        <w:rPr>
          <w:noProof/>
        </w:rPr>
        <w:fldChar w:fldCharType="end"/>
      </w:r>
    </w:p>
    <w:p w:rsidR="00885124" w:rsidRDefault="00885124">
      <w:pPr>
        <w:pStyle w:val="TOC1"/>
        <w:tabs>
          <w:tab w:val="left" w:pos="440"/>
          <w:tab w:val="right" w:leader="dot" w:pos="8211"/>
        </w:tabs>
        <w:rPr>
          <w:rFonts w:asciiTheme="minorHAnsi" w:eastAsiaTheme="minorEastAsia" w:hAnsiTheme="minorHAnsi" w:cstheme="minorBidi"/>
          <w:b w:val="0"/>
          <w:caps w:val="0"/>
          <w:noProof/>
          <w:sz w:val="22"/>
          <w:szCs w:val="22"/>
          <w:lang w:eastAsia="en-AU"/>
        </w:rPr>
      </w:pPr>
      <w:r>
        <w:rPr>
          <w:noProof/>
        </w:rPr>
        <w:t>6</w:t>
      </w:r>
      <w:r>
        <w:rPr>
          <w:rFonts w:asciiTheme="minorHAnsi" w:eastAsiaTheme="minorEastAsia" w:hAnsiTheme="minorHAnsi" w:cstheme="minorBidi"/>
          <w:b w:val="0"/>
          <w:caps w:val="0"/>
          <w:noProof/>
          <w:sz w:val="22"/>
          <w:szCs w:val="22"/>
          <w:lang w:eastAsia="en-AU"/>
        </w:rPr>
        <w:tab/>
      </w:r>
      <w:r>
        <w:rPr>
          <w:noProof/>
        </w:rPr>
        <w:t>Appendix 2 – Timesheet Data Build-up</w:t>
      </w:r>
      <w:r>
        <w:rPr>
          <w:noProof/>
        </w:rPr>
        <w:tab/>
      </w:r>
      <w:r w:rsidR="0053226A">
        <w:rPr>
          <w:noProof/>
        </w:rPr>
        <w:fldChar w:fldCharType="begin"/>
      </w:r>
      <w:r>
        <w:rPr>
          <w:noProof/>
        </w:rPr>
        <w:instrText xml:space="preserve"> PAGEREF _Toc346891257 \h </w:instrText>
      </w:r>
      <w:r w:rsidR="0053226A">
        <w:rPr>
          <w:noProof/>
        </w:rPr>
      </w:r>
      <w:r w:rsidR="0053226A">
        <w:rPr>
          <w:noProof/>
        </w:rPr>
        <w:fldChar w:fldCharType="separate"/>
      </w:r>
      <w:r w:rsidR="003A2FF4">
        <w:rPr>
          <w:noProof/>
        </w:rPr>
        <w:t>14</w:t>
      </w:r>
      <w:r w:rsidR="0053226A">
        <w:rPr>
          <w:noProof/>
        </w:rPr>
        <w:fldChar w:fldCharType="end"/>
      </w:r>
    </w:p>
    <w:p w:rsidR="00885124" w:rsidRDefault="00885124">
      <w:pPr>
        <w:pStyle w:val="TOC1"/>
        <w:tabs>
          <w:tab w:val="left" w:pos="440"/>
          <w:tab w:val="right" w:leader="dot" w:pos="8211"/>
        </w:tabs>
        <w:rPr>
          <w:rFonts w:asciiTheme="minorHAnsi" w:eastAsiaTheme="minorEastAsia" w:hAnsiTheme="minorHAnsi" w:cstheme="minorBidi"/>
          <w:b w:val="0"/>
          <w:caps w:val="0"/>
          <w:noProof/>
          <w:sz w:val="22"/>
          <w:szCs w:val="22"/>
          <w:lang w:eastAsia="en-AU"/>
        </w:rPr>
      </w:pPr>
      <w:r>
        <w:rPr>
          <w:noProof/>
        </w:rPr>
        <w:t>7</w:t>
      </w:r>
      <w:r>
        <w:rPr>
          <w:rFonts w:asciiTheme="minorHAnsi" w:eastAsiaTheme="minorEastAsia" w:hAnsiTheme="minorHAnsi" w:cstheme="minorBidi"/>
          <w:b w:val="0"/>
          <w:caps w:val="0"/>
          <w:noProof/>
          <w:sz w:val="22"/>
          <w:szCs w:val="22"/>
          <w:lang w:eastAsia="en-AU"/>
        </w:rPr>
        <w:tab/>
      </w:r>
      <w:r>
        <w:rPr>
          <w:noProof/>
        </w:rPr>
        <w:t>Appendix 3 – Audit Evidence</w:t>
      </w:r>
      <w:r>
        <w:rPr>
          <w:noProof/>
        </w:rPr>
        <w:tab/>
      </w:r>
      <w:r w:rsidR="0053226A">
        <w:rPr>
          <w:noProof/>
        </w:rPr>
        <w:fldChar w:fldCharType="begin"/>
      </w:r>
      <w:r>
        <w:rPr>
          <w:noProof/>
        </w:rPr>
        <w:instrText xml:space="preserve"> PAGEREF _Toc346891258 \h </w:instrText>
      </w:r>
      <w:r w:rsidR="0053226A">
        <w:rPr>
          <w:noProof/>
        </w:rPr>
      </w:r>
      <w:r w:rsidR="0053226A">
        <w:rPr>
          <w:noProof/>
        </w:rPr>
        <w:fldChar w:fldCharType="separate"/>
      </w:r>
      <w:r w:rsidR="003A2FF4">
        <w:rPr>
          <w:noProof/>
        </w:rPr>
        <w:t>16</w:t>
      </w:r>
      <w:r w:rsidR="0053226A">
        <w:rPr>
          <w:noProof/>
        </w:rPr>
        <w:fldChar w:fldCharType="end"/>
      </w:r>
    </w:p>
    <w:p w:rsidR="00885124" w:rsidRDefault="00885124">
      <w:pPr>
        <w:pStyle w:val="TOC1"/>
        <w:tabs>
          <w:tab w:val="left" w:pos="440"/>
          <w:tab w:val="right" w:leader="dot" w:pos="8211"/>
        </w:tabs>
        <w:rPr>
          <w:rFonts w:asciiTheme="minorHAnsi" w:eastAsiaTheme="minorEastAsia" w:hAnsiTheme="minorHAnsi" w:cstheme="minorBidi"/>
          <w:b w:val="0"/>
          <w:caps w:val="0"/>
          <w:noProof/>
          <w:sz w:val="22"/>
          <w:szCs w:val="22"/>
          <w:lang w:eastAsia="en-AU"/>
        </w:rPr>
      </w:pPr>
      <w:r>
        <w:rPr>
          <w:noProof/>
        </w:rPr>
        <w:t>8</w:t>
      </w:r>
      <w:r>
        <w:rPr>
          <w:rFonts w:asciiTheme="minorHAnsi" w:eastAsiaTheme="minorEastAsia" w:hAnsiTheme="minorHAnsi" w:cstheme="minorBidi"/>
          <w:b w:val="0"/>
          <w:caps w:val="0"/>
          <w:noProof/>
          <w:sz w:val="22"/>
          <w:szCs w:val="22"/>
          <w:lang w:eastAsia="en-AU"/>
        </w:rPr>
        <w:tab/>
      </w:r>
      <w:r>
        <w:rPr>
          <w:noProof/>
        </w:rPr>
        <w:t>Limitations</w:t>
      </w:r>
      <w:r>
        <w:rPr>
          <w:noProof/>
        </w:rPr>
        <w:tab/>
      </w:r>
      <w:r w:rsidR="0053226A">
        <w:rPr>
          <w:noProof/>
        </w:rPr>
        <w:fldChar w:fldCharType="begin"/>
      </w:r>
      <w:r>
        <w:rPr>
          <w:noProof/>
        </w:rPr>
        <w:instrText xml:space="preserve"> PAGEREF _Toc346891259 \h </w:instrText>
      </w:r>
      <w:r w:rsidR="0053226A">
        <w:rPr>
          <w:noProof/>
        </w:rPr>
      </w:r>
      <w:r w:rsidR="0053226A">
        <w:rPr>
          <w:noProof/>
        </w:rPr>
        <w:fldChar w:fldCharType="separate"/>
      </w:r>
      <w:r w:rsidR="003A2FF4">
        <w:rPr>
          <w:noProof/>
        </w:rPr>
        <w:t>18</w:t>
      </w:r>
      <w:r w:rsidR="0053226A">
        <w:rPr>
          <w:noProof/>
        </w:rPr>
        <w:fldChar w:fldCharType="end"/>
      </w:r>
    </w:p>
    <w:p w:rsidR="000F1FDC" w:rsidRPr="00993D07" w:rsidRDefault="0053226A">
      <w:pPr>
        <w:pStyle w:val="TOC1"/>
        <w:tabs>
          <w:tab w:val="left" w:pos="440"/>
          <w:tab w:val="right" w:leader="dot" w:pos="8211"/>
        </w:tabs>
        <w:rPr>
          <w:rFonts w:cs="Arial"/>
        </w:rPr>
        <w:sectPr w:rsidR="000F1FDC" w:rsidRPr="00993D07">
          <w:headerReference w:type="default" r:id="rId11"/>
          <w:footerReference w:type="default" r:id="rId12"/>
          <w:pgSz w:w="11907" w:h="16840" w:code="9"/>
          <w:pgMar w:top="2835" w:right="1616" w:bottom="1644" w:left="1616" w:header="737" w:footer="737" w:gutter="454"/>
          <w:pgNumType w:fmt="lowerRoman" w:start="1"/>
          <w:cols w:space="737"/>
        </w:sectPr>
      </w:pPr>
      <w:r w:rsidRPr="00993D07">
        <w:rPr>
          <w:rFonts w:cs="Arial"/>
          <w:sz w:val="22"/>
          <w:szCs w:val="22"/>
        </w:rPr>
        <w:fldChar w:fldCharType="end"/>
      </w:r>
      <w:r w:rsidR="00DF62CA" w:rsidRPr="00993D07">
        <w:rPr>
          <w:rFonts w:cs="Arial"/>
          <w:sz w:val="22"/>
          <w:szCs w:val="22"/>
        </w:rPr>
        <w:t xml:space="preserve"> </w:t>
      </w:r>
    </w:p>
    <w:p w:rsidR="000F1FDC" w:rsidRPr="00993D07" w:rsidRDefault="001C41E7" w:rsidP="00CC5F54">
      <w:pPr>
        <w:pStyle w:val="Heading1"/>
      </w:pPr>
      <w:bookmarkStart w:id="3" w:name="Text"/>
      <w:bookmarkStart w:id="4" w:name="_Toc346891227"/>
      <w:bookmarkEnd w:id="3"/>
      <w:r w:rsidRPr="00993D07">
        <w:t>Introduction</w:t>
      </w:r>
      <w:bookmarkEnd w:id="4"/>
    </w:p>
    <w:p w:rsidR="00CC478C" w:rsidRDefault="00CC478C" w:rsidP="00CC478C">
      <w:pPr>
        <w:jc w:val="both"/>
        <w:rPr>
          <w:rFonts w:cs="Arial"/>
          <w:lang w:val="en-US"/>
        </w:rPr>
      </w:pPr>
    </w:p>
    <w:p w:rsidR="00CC478C" w:rsidRPr="00D269B2" w:rsidRDefault="00CC478C" w:rsidP="00CC478C">
      <w:pPr>
        <w:jc w:val="both"/>
        <w:rPr>
          <w:rFonts w:cs="Arial"/>
          <w:lang w:val="en-US"/>
        </w:rPr>
      </w:pPr>
      <w:r w:rsidRPr="00D269B2">
        <w:rPr>
          <w:rFonts w:cs="Arial"/>
          <w:lang w:val="en-US"/>
        </w:rPr>
        <w:t xml:space="preserve">We have completed our </w:t>
      </w:r>
      <w:r w:rsidRPr="00064535">
        <w:rPr>
          <w:rFonts w:cs="Arial"/>
          <w:lang w:val="en-US"/>
        </w:rPr>
        <w:t>review</w:t>
      </w:r>
      <w:r w:rsidRPr="00D269B2">
        <w:rPr>
          <w:rFonts w:cs="Arial"/>
          <w:lang w:val="en-US"/>
        </w:rPr>
        <w:t xml:space="preserve"> of the Australian Health Practitioner Regulation Agency (AHPRA) shared costs allocation practices per our engagement letter dated 26 October 2012.</w:t>
      </w:r>
    </w:p>
    <w:p w:rsidR="00CC478C" w:rsidRPr="00D269B2" w:rsidRDefault="00CC478C" w:rsidP="00CC478C">
      <w:pPr>
        <w:jc w:val="both"/>
        <w:rPr>
          <w:rFonts w:cs="Arial"/>
          <w:lang w:val="en-US"/>
        </w:rPr>
      </w:pPr>
    </w:p>
    <w:p w:rsidR="00CC478C" w:rsidRDefault="00CC478C" w:rsidP="00CC478C">
      <w:pPr>
        <w:jc w:val="both"/>
        <w:rPr>
          <w:rFonts w:cs="Arial"/>
          <w:lang w:val="en-US"/>
        </w:rPr>
      </w:pPr>
      <w:r w:rsidRPr="00D269B2">
        <w:rPr>
          <w:rFonts w:cs="Arial"/>
          <w:lang w:val="en-US"/>
        </w:rPr>
        <w:t>We have concluded on the reasonableness of the methodology and the underlying assumptions adopted by management during the timesheet process.</w:t>
      </w:r>
      <w:r>
        <w:rPr>
          <w:rFonts w:cs="Arial"/>
          <w:lang w:val="en-US"/>
        </w:rPr>
        <w:t xml:space="preserve">   </w:t>
      </w:r>
    </w:p>
    <w:p w:rsidR="00CC478C" w:rsidRDefault="00CC478C" w:rsidP="00CC478C">
      <w:pPr>
        <w:jc w:val="both"/>
        <w:rPr>
          <w:rFonts w:cs="Arial"/>
          <w:lang w:val="en-US"/>
        </w:rPr>
      </w:pPr>
    </w:p>
    <w:p w:rsidR="00CC478C" w:rsidRDefault="00CC478C" w:rsidP="00CC478C">
      <w:pPr>
        <w:jc w:val="both"/>
        <w:rPr>
          <w:rFonts w:cs="Arial"/>
          <w:lang w:val="en-US"/>
        </w:rPr>
      </w:pPr>
      <w:r>
        <w:rPr>
          <w:rFonts w:cs="Arial"/>
          <w:lang w:val="en-US"/>
        </w:rPr>
        <w:t>We also wish to thank AHPRA management for their assistance in the completion of this review.</w:t>
      </w:r>
    </w:p>
    <w:p w:rsidR="00CC478C" w:rsidRDefault="00CC478C" w:rsidP="003C6916">
      <w:pPr>
        <w:jc w:val="both"/>
        <w:rPr>
          <w:rFonts w:cs="Arial"/>
          <w:lang w:val="en-US"/>
        </w:rPr>
      </w:pPr>
    </w:p>
    <w:p w:rsidR="003C6916" w:rsidRDefault="003C6916" w:rsidP="003C6916">
      <w:pPr>
        <w:jc w:val="both"/>
        <w:rPr>
          <w:rFonts w:cs="Arial"/>
          <w:lang w:val="en-US"/>
        </w:rPr>
      </w:pPr>
    </w:p>
    <w:p w:rsidR="002A23CC" w:rsidRDefault="002A23CC">
      <w:pPr>
        <w:jc w:val="both"/>
        <w:rPr>
          <w:rFonts w:cs="Arial"/>
        </w:rPr>
      </w:pPr>
    </w:p>
    <w:p w:rsidR="002A23CC" w:rsidRPr="002A23CC" w:rsidRDefault="002A23CC" w:rsidP="002A23CC">
      <w:pPr>
        <w:rPr>
          <w:rFonts w:cs="Arial"/>
        </w:rPr>
      </w:pPr>
    </w:p>
    <w:p w:rsidR="002A23CC" w:rsidRPr="002A23CC" w:rsidRDefault="002A23CC" w:rsidP="002A23CC">
      <w:pPr>
        <w:rPr>
          <w:rFonts w:cs="Arial"/>
        </w:rPr>
      </w:pPr>
    </w:p>
    <w:p w:rsidR="002A23CC" w:rsidRPr="002A23CC" w:rsidRDefault="002A23CC" w:rsidP="002A23CC">
      <w:pPr>
        <w:rPr>
          <w:rFonts w:cs="Arial"/>
        </w:rPr>
      </w:pPr>
    </w:p>
    <w:p w:rsidR="002A23CC" w:rsidRPr="002A23CC" w:rsidRDefault="002A23CC" w:rsidP="002A23CC">
      <w:pPr>
        <w:rPr>
          <w:rFonts w:cs="Arial"/>
        </w:rPr>
      </w:pPr>
    </w:p>
    <w:p w:rsidR="002A23CC" w:rsidRPr="002A23CC" w:rsidRDefault="002A23CC" w:rsidP="002A23CC">
      <w:pPr>
        <w:rPr>
          <w:rFonts w:cs="Arial"/>
        </w:rPr>
      </w:pPr>
    </w:p>
    <w:p w:rsidR="002A23CC" w:rsidRPr="002A23CC" w:rsidRDefault="002A23CC" w:rsidP="002A23CC">
      <w:pPr>
        <w:rPr>
          <w:rFonts w:cs="Arial"/>
        </w:rPr>
      </w:pPr>
    </w:p>
    <w:p w:rsidR="002A23CC" w:rsidRPr="002A23CC" w:rsidRDefault="002A23CC" w:rsidP="002A23CC">
      <w:pPr>
        <w:rPr>
          <w:rFonts w:cs="Arial"/>
        </w:rPr>
      </w:pPr>
    </w:p>
    <w:p w:rsidR="002A23CC" w:rsidRPr="002A23CC" w:rsidRDefault="002A23CC" w:rsidP="002A23CC">
      <w:pPr>
        <w:rPr>
          <w:rFonts w:cs="Arial"/>
        </w:rPr>
      </w:pPr>
    </w:p>
    <w:p w:rsidR="002A23CC" w:rsidRPr="002A23CC" w:rsidRDefault="002A23CC" w:rsidP="002A23CC">
      <w:pPr>
        <w:rPr>
          <w:rFonts w:cs="Arial"/>
        </w:rPr>
      </w:pPr>
    </w:p>
    <w:p w:rsidR="002A23CC" w:rsidRDefault="002A23CC" w:rsidP="002A23CC">
      <w:pPr>
        <w:rPr>
          <w:rFonts w:cs="Arial"/>
        </w:rPr>
      </w:pPr>
    </w:p>
    <w:p w:rsidR="00433D6B" w:rsidRPr="002A23CC" w:rsidRDefault="002A23CC" w:rsidP="002A23CC">
      <w:pPr>
        <w:tabs>
          <w:tab w:val="left" w:pos="3645"/>
        </w:tabs>
        <w:rPr>
          <w:rFonts w:cs="Arial"/>
        </w:rPr>
      </w:pPr>
      <w:r>
        <w:rPr>
          <w:rFonts w:cs="Arial"/>
        </w:rPr>
        <w:tab/>
      </w:r>
    </w:p>
    <w:p w:rsidR="00407102" w:rsidRPr="00993D07" w:rsidRDefault="00112EB8" w:rsidP="00CC5F54">
      <w:pPr>
        <w:pStyle w:val="Heading1"/>
      </w:pPr>
      <w:bookmarkStart w:id="5" w:name="_Toc346891228"/>
      <w:r w:rsidRPr="00993D07">
        <w:t>Executive Summary</w:t>
      </w:r>
      <w:bookmarkEnd w:id="5"/>
    </w:p>
    <w:p w:rsidR="00407102" w:rsidRPr="00993D07" w:rsidRDefault="00F071A3" w:rsidP="00CC5F54">
      <w:pPr>
        <w:pStyle w:val="Heading2"/>
      </w:pPr>
      <w:bookmarkStart w:id="6" w:name="_Toc346891229"/>
      <w:r w:rsidRPr="00993D07">
        <w:t>Background</w:t>
      </w:r>
      <w:bookmarkEnd w:id="6"/>
    </w:p>
    <w:p w:rsidR="00F071A3" w:rsidRPr="00993D07" w:rsidRDefault="00F071A3" w:rsidP="00F071A3">
      <w:pPr>
        <w:pStyle w:val="DefaultText"/>
        <w:spacing w:line="260" w:lineRule="atLeast"/>
        <w:rPr>
          <w:rFonts w:cs="Arial"/>
          <w:sz w:val="20"/>
        </w:rPr>
      </w:pPr>
      <w:r w:rsidRPr="00993D07">
        <w:rPr>
          <w:rFonts w:cs="Arial"/>
          <w:sz w:val="20"/>
        </w:rPr>
        <w:t xml:space="preserve">In September 2011, Moore Stephens was engaged to ‘develop and implement a methodology and process to </w:t>
      </w:r>
      <w:r w:rsidR="00174AB8">
        <w:rPr>
          <w:rFonts w:cs="Arial"/>
          <w:sz w:val="20"/>
        </w:rPr>
        <w:t>review</w:t>
      </w:r>
      <w:r w:rsidR="00174AB8" w:rsidRPr="00993D07">
        <w:rPr>
          <w:rFonts w:cs="Arial"/>
          <w:sz w:val="20"/>
        </w:rPr>
        <w:t xml:space="preserve"> </w:t>
      </w:r>
      <w:r w:rsidRPr="00993D07">
        <w:rPr>
          <w:rFonts w:cs="Arial"/>
          <w:sz w:val="20"/>
        </w:rPr>
        <w:t>the allocated percentages relating to the 10 Boards’ shared costs incurred by AHPRA in su</w:t>
      </w:r>
      <w:r w:rsidR="002C0206" w:rsidRPr="00993D07">
        <w:rPr>
          <w:rFonts w:cs="Arial"/>
          <w:sz w:val="20"/>
        </w:rPr>
        <w:t>pporting the National Boards’.</w:t>
      </w:r>
    </w:p>
    <w:p w:rsidR="00F071A3" w:rsidRPr="00993D07" w:rsidRDefault="00F071A3" w:rsidP="00F071A3">
      <w:pPr>
        <w:pStyle w:val="DefaultText"/>
        <w:spacing w:line="260" w:lineRule="atLeast"/>
        <w:rPr>
          <w:rFonts w:cs="Arial"/>
          <w:sz w:val="20"/>
        </w:rPr>
      </w:pPr>
    </w:p>
    <w:p w:rsidR="00F071A3" w:rsidRPr="00993D07" w:rsidRDefault="00F071A3" w:rsidP="00F071A3">
      <w:pPr>
        <w:pStyle w:val="DefaultText"/>
        <w:spacing w:line="260" w:lineRule="atLeast"/>
        <w:rPr>
          <w:rFonts w:cs="Arial"/>
          <w:sz w:val="20"/>
        </w:rPr>
      </w:pPr>
      <w:r w:rsidRPr="00993D07">
        <w:rPr>
          <w:rFonts w:cs="Arial"/>
          <w:bCs/>
          <w:sz w:val="20"/>
        </w:rPr>
        <w:t>F</w:t>
      </w:r>
      <w:r w:rsidRPr="00993D07">
        <w:rPr>
          <w:rFonts w:cs="Arial"/>
          <w:sz w:val="20"/>
        </w:rPr>
        <w:t>ollowing a period of fieldwork and consultation wit</w:t>
      </w:r>
      <w:r w:rsidRPr="00993D07">
        <w:rPr>
          <w:rFonts w:cs="Arial"/>
          <w:bCs/>
          <w:sz w:val="20"/>
        </w:rPr>
        <w:t xml:space="preserve">h key management, including the </w:t>
      </w:r>
      <w:r w:rsidRPr="00993D07">
        <w:rPr>
          <w:rFonts w:cs="Arial"/>
          <w:sz w:val="20"/>
        </w:rPr>
        <w:t>CEO of AHPRA, our report was provide</w:t>
      </w:r>
      <w:r w:rsidR="002C0206" w:rsidRPr="00993D07">
        <w:rPr>
          <w:rFonts w:cs="Arial"/>
          <w:sz w:val="20"/>
        </w:rPr>
        <w:t>d to management in April 2012.</w:t>
      </w:r>
    </w:p>
    <w:p w:rsidR="00B7338C" w:rsidRPr="00993D07" w:rsidRDefault="00B7338C" w:rsidP="00F071A3">
      <w:pPr>
        <w:pStyle w:val="DefaultText"/>
        <w:spacing w:line="260" w:lineRule="atLeast"/>
        <w:rPr>
          <w:rFonts w:cs="Arial"/>
          <w:sz w:val="20"/>
        </w:rPr>
      </w:pPr>
    </w:p>
    <w:p w:rsidR="00F071A3" w:rsidRPr="00993D07" w:rsidRDefault="00F071A3" w:rsidP="00F071A3">
      <w:pPr>
        <w:pStyle w:val="DefaultText"/>
        <w:spacing w:line="260" w:lineRule="atLeast"/>
        <w:rPr>
          <w:rFonts w:cs="Arial"/>
          <w:sz w:val="20"/>
        </w:rPr>
      </w:pPr>
      <w:r w:rsidRPr="00993D07">
        <w:rPr>
          <w:rFonts w:cs="Arial"/>
          <w:sz w:val="20"/>
        </w:rPr>
        <w:t>We presented AHPRA with an alternate methodology to the one in use</w:t>
      </w:r>
      <w:r w:rsidR="003C6916">
        <w:rPr>
          <w:rFonts w:cs="Arial"/>
          <w:sz w:val="20"/>
        </w:rPr>
        <w:t>d</w:t>
      </w:r>
      <w:r w:rsidR="00412004" w:rsidRPr="00993D07">
        <w:rPr>
          <w:rFonts w:cs="Arial"/>
          <w:sz w:val="20"/>
        </w:rPr>
        <w:t xml:space="preserve"> </w:t>
      </w:r>
      <w:r w:rsidR="003C6916">
        <w:rPr>
          <w:rFonts w:cs="Arial"/>
          <w:sz w:val="20"/>
        </w:rPr>
        <w:t xml:space="preserve">since inception, </w:t>
      </w:r>
      <w:r w:rsidR="00412004" w:rsidRPr="00993D07">
        <w:rPr>
          <w:rFonts w:cs="Arial"/>
          <w:sz w:val="20"/>
        </w:rPr>
        <w:t>at the time</w:t>
      </w:r>
      <w:r w:rsidRPr="00993D07">
        <w:rPr>
          <w:rFonts w:cs="Arial"/>
          <w:sz w:val="20"/>
        </w:rPr>
        <w:t>, however we also indicated that</w:t>
      </w:r>
      <w:r w:rsidR="00630A93">
        <w:rPr>
          <w:rFonts w:cs="Arial"/>
          <w:sz w:val="20"/>
        </w:rPr>
        <w:t xml:space="preserve"> due to the infancy of the National Scheme,</w:t>
      </w:r>
      <w:r w:rsidRPr="00993D07">
        <w:rPr>
          <w:rFonts w:cs="Arial"/>
          <w:sz w:val="20"/>
        </w:rPr>
        <w:t xml:space="preserve"> there were weaknesses in the quality and quantity of AHPRA’s costing data that limited the effectiveness of  the adoption of a best practice methodology until such da</w:t>
      </w:r>
      <w:r w:rsidR="002C0206" w:rsidRPr="00993D07">
        <w:rPr>
          <w:rFonts w:cs="Arial"/>
          <w:sz w:val="20"/>
        </w:rPr>
        <w:t xml:space="preserve">ta </w:t>
      </w:r>
      <w:r w:rsidR="00337603">
        <w:rPr>
          <w:rFonts w:cs="Arial"/>
          <w:sz w:val="20"/>
        </w:rPr>
        <w:t>were</w:t>
      </w:r>
      <w:r w:rsidR="00337603" w:rsidRPr="00993D07">
        <w:rPr>
          <w:rFonts w:cs="Arial"/>
          <w:sz w:val="20"/>
        </w:rPr>
        <w:t xml:space="preserve"> </w:t>
      </w:r>
      <w:r w:rsidR="002C0206" w:rsidRPr="00993D07">
        <w:rPr>
          <w:rFonts w:cs="Arial"/>
          <w:sz w:val="20"/>
        </w:rPr>
        <w:t>accumulated and tested</w:t>
      </w:r>
      <w:r w:rsidR="00630A93">
        <w:rPr>
          <w:rFonts w:cs="Arial"/>
          <w:sz w:val="20"/>
        </w:rPr>
        <w:t xml:space="preserve"> over time</w:t>
      </w:r>
      <w:r w:rsidR="002C0206" w:rsidRPr="00993D07">
        <w:rPr>
          <w:rFonts w:cs="Arial"/>
          <w:sz w:val="20"/>
        </w:rPr>
        <w:t>.</w:t>
      </w:r>
      <w:r w:rsidR="00630A93">
        <w:rPr>
          <w:rFonts w:cs="Arial"/>
          <w:sz w:val="20"/>
        </w:rPr>
        <w:t xml:space="preserve">  The impact of the addition of 4 new professions from 1 July 2012 also added to the complexity of establishing an appropriate cost model.</w:t>
      </w:r>
    </w:p>
    <w:p w:rsidR="00B7338C" w:rsidRPr="00993D07" w:rsidRDefault="00B7338C" w:rsidP="00F071A3">
      <w:pPr>
        <w:pStyle w:val="DefaultText"/>
        <w:spacing w:line="260" w:lineRule="atLeast"/>
        <w:rPr>
          <w:rFonts w:cs="Arial"/>
          <w:sz w:val="20"/>
        </w:rPr>
      </w:pPr>
    </w:p>
    <w:p w:rsidR="00F071A3" w:rsidRPr="00993D07" w:rsidRDefault="00F071A3" w:rsidP="00B7338C">
      <w:pPr>
        <w:pStyle w:val="DefaultText"/>
        <w:spacing w:line="260" w:lineRule="atLeast"/>
        <w:rPr>
          <w:rFonts w:cs="Arial"/>
          <w:sz w:val="20"/>
        </w:rPr>
      </w:pPr>
      <w:r w:rsidRPr="00993D07">
        <w:rPr>
          <w:rFonts w:cs="Arial"/>
          <w:sz w:val="20"/>
        </w:rPr>
        <w:t xml:space="preserve">We recommended that management continue to accumulate data that </w:t>
      </w:r>
      <w:r w:rsidR="00337603">
        <w:rPr>
          <w:rFonts w:cs="Arial"/>
          <w:sz w:val="20"/>
        </w:rPr>
        <w:t>were</w:t>
      </w:r>
      <w:r w:rsidR="00337603" w:rsidRPr="00993D07">
        <w:rPr>
          <w:rFonts w:cs="Arial"/>
          <w:sz w:val="20"/>
        </w:rPr>
        <w:t xml:space="preserve"> </w:t>
      </w:r>
      <w:r w:rsidRPr="00993D07">
        <w:rPr>
          <w:rFonts w:cs="Arial"/>
          <w:sz w:val="20"/>
        </w:rPr>
        <w:t xml:space="preserve">reliable and meaningful, enabling AHPRA to implement a cost allocation methodology that would withstand both internal and external scrutiny.  We indicated that with appropriate resourcing and management support, a revised methodology could be implemented by 1 July 2013. </w:t>
      </w:r>
    </w:p>
    <w:p w:rsidR="00B7338C" w:rsidRPr="00993D07" w:rsidRDefault="00B7338C" w:rsidP="00B7338C">
      <w:pPr>
        <w:pStyle w:val="DefaultText"/>
        <w:spacing w:line="260" w:lineRule="atLeast"/>
        <w:rPr>
          <w:rFonts w:cs="Arial"/>
          <w:sz w:val="20"/>
        </w:rPr>
      </w:pPr>
    </w:p>
    <w:p w:rsidR="00F071A3" w:rsidRPr="00993D07" w:rsidRDefault="00F071A3" w:rsidP="00F071A3">
      <w:pPr>
        <w:pStyle w:val="DefaultText"/>
        <w:spacing w:line="260" w:lineRule="atLeast"/>
        <w:rPr>
          <w:rFonts w:cs="Arial"/>
          <w:sz w:val="20"/>
        </w:rPr>
      </w:pPr>
      <w:r w:rsidRPr="00993D07">
        <w:rPr>
          <w:rFonts w:cs="Arial"/>
          <w:sz w:val="20"/>
        </w:rPr>
        <w:t>As a result of the findings of our April</w:t>
      </w:r>
      <w:r w:rsidR="006F68FC" w:rsidRPr="00993D07">
        <w:rPr>
          <w:rFonts w:cs="Arial"/>
          <w:sz w:val="20"/>
        </w:rPr>
        <w:t xml:space="preserve"> 2012</w:t>
      </w:r>
      <w:r w:rsidRPr="00993D07">
        <w:rPr>
          <w:rFonts w:cs="Arial"/>
          <w:sz w:val="20"/>
        </w:rPr>
        <w:t xml:space="preserve"> Cost Allocation report, management initiated a 3 month timesheet data capturing exercise (commenced September 2012) across a predetermined section of the AHPRA workforce.  The aim of this data capture pro</w:t>
      </w:r>
      <w:r w:rsidR="00412004" w:rsidRPr="00993D07">
        <w:rPr>
          <w:rFonts w:cs="Arial"/>
          <w:sz w:val="20"/>
        </w:rPr>
        <w:t>cess was</w:t>
      </w:r>
      <w:r w:rsidRPr="00993D07">
        <w:rPr>
          <w:rFonts w:cs="Arial"/>
          <w:sz w:val="20"/>
        </w:rPr>
        <w:t xml:space="preserve"> to obtain </w:t>
      </w:r>
      <w:r w:rsidR="00630A93">
        <w:rPr>
          <w:rFonts w:cs="Arial"/>
          <w:sz w:val="20"/>
        </w:rPr>
        <w:t xml:space="preserve">additional </w:t>
      </w:r>
      <w:r w:rsidRPr="00993D07">
        <w:rPr>
          <w:rFonts w:cs="Arial"/>
          <w:sz w:val="20"/>
        </w:rPr>
        <w:t xml:space="preserve">evidence on the time used by staff across </w:t>
      </w:r>
      <w:r w:rsidR="00174AB8">
        <w:rPr>
          <w:rFonts w:cs="Arial"/>
          <w:sz w:val="20"/>
        </w:rPr>
        <w:t>AHPRA</w:t>
      </w:r>
      <w:r w:rsidRPr="00993D07">
        <w:rPr>
          <w:rFonts w:cs="Arial"/>
          <w:sz w:val="20"/>
        </w:rPr>
        <w:t xml:space="preserve"> in order to calculate </w:t>
      </w:r>
      <w:r w:rsidR="00174AB8">
        <w:rPr>
          <w:rFonts w:cs="Arial"/>
          <w:sz w:val="20"/>
        </w:rPr>
        <w:t>a</w:t>
      </w:r>
      <w:r w:rsidR="00630A93">
        <w:rPr>
          <w:rFonts w:cs="Arial"/>
          <w:sz w:val="20"/>
        </w:rPr>
        <w:t xml:space="preserve"> more accurate </w:t>
      </w:r>
      <w:r w:rsidRPr="00993D07">
        <w:rPr>
          <w:rFonts w:cs="Arial"/>
          <w:sz w:val="20"/>
        </w:rPr>
        <w:t xml:space="preserve">cost allocation percentage for the year commencing 1 July 2013. </w:t>
      </w:r>
    </w:p>
    <w:p w:rsidR="00F071A3" w:rsidRPr="00993D07" w:rsidRDefault="00F071A3" w:rsidP="00CC5F54">
      <w:pPr>
        <w:pStyle w:val="Heading2"/>
      </w:pPr>
      <w:bookmarkStart w:id="7" w:name="_Toc346891230"/>
      <w:r w:rsidRPr="00993D07">
        <w:t>Objective</w:t>
      </w:r>
      <w:bookmarkEnd w:id="7"/>
    </w:p>
    <w:p w:rsidR="00B861A2" w:rsidRPr="00993D07" w:rsidRDefault="00B861A2" w:rsidP="00B861A2">
      <w:pPr>
        <w:pStyle w:val="DefaultText"/>
        <w:spacing w:line="260" w:lineRule="atLeast"/>
        <w:rPr>
          <w:rFonts w:cs="Arial"/>
          <w:sz w:val="20"/>
        </w:rPr>
      </w:pPr>
      <w:r w:rsidRPr="00993D07">
        <w:rPr>
          <w:rFonts w:cs="Arial"/>
          <w:sz w:val="20"/>
        </w:rPr>
        <w:t xml:space="preserve">Our engagement was </w:t>
      </w:r>
      <w:r w:rsidR="00630A93">
        <w:rPr>
          <w:rFonts w:cs="Arial"/>
          <w:sz w:val="20"/>
        </w:rPr>
        <w:t xml:space="preserve">isolated to </w:t>
      </w:r>
      <w:r w:rsidRPr="00993D07">
        <w:rPr>
          <w:rFonts w:cs="Arial"/>
          <w:sz w:val="20"/>
        </w:rPr>
        <w:t xml:space="preserve">reporting findings under </w:t>
      </w:r>
      <w:r w:rsidR="00630A93">
        <w:rPr>
          <w:rFonts w:cs="Arial"/>
          <w:sz w:val="20"/>
        </w:rPr>
        <w:t xml:space="preserve">the agreed </w:t>
      </w:r>
      <w:r w:rsidRPr="00993D07">
        <w:rPr>
          <w:rFonts w:cs="Arial"/>
          <w:sz w:val="20"/>
        </w:rPr>
        <w:t xml:space="preserve">scope </w:t>
      </w:r>
      <w:r w:rsidR="00630A93">
        <w:rPr>
          <w:rFonts w:cs="Arial"/>
          <w:sz w:val="20"/>
        </w:rPr>
        <w:t>in Section 2.3 below</w:t>
      </w:r>
      <w:r w:rsidRPr="00993D07">
        <w:rPr>
          <w:rFonts w:cs="Arial"/>
          <w:sz w:val="20"/>
        </w:rPr>
        <w:t>.  The procedures performed did not constitute a reasonable or limited assurance engagement, accordingly, no a</w:t>
      </w:r>
      <w:r w:rsidR="00630A93">
        <w:rPr>
          <w:rFonts w:cs="Arial"/>
          <w:sz w:val="20"/>
        </w:rPr>
        <w:t>usit opinion is</w:t>
      </w:r>
      <w:r w:rsidRPr="00993D07">
        <w:rPr>
          <w:rFonts w:cs="Arial"/>
          <w:sz w:val="20"/>
        </w:rPr>
        <w:t xml:space="preserve"> provided.</w:t>
      </w:r>
    </w:p>
    <w:p w:rsidR="00B861A2" w:rsidRPr="00993D07" w:rsidRDefault="00B861A2" w:rsidP="00B861A2">
      <w:pPr>
        <w:pStyle w:val="DefaultText"/>
        <w:spacing w:line="260" w:lineRule="atLeast"/>
        <w:rPr>
          <w:rFonts w:cs="Arial"/>
          <w:sz w:val="20"/>
        </w:rPr>
      </w:pPr>
    </w:p>
    <w:p w:rsidR="00B861A2" w:rsidRPr="00993D07" w:rsidRDefault="00B861A2" w:rsidP="00B861A2">
      <w:pPr>
        <w:pStyle w:val="DefaultText"/>
        <w:spacing w:line="260" w:lineRule="atLeast"/>
        <w:rPr>
          <w:rFonts w:cs="Arial"/>
          <w:sz w:val="20"/>
        </w:rPr>
      </w:pPr>
      <w:r w:rsidRPr="00993D07">
        <w:rPr>
          <w:rFonts w:cs="Arial"/>
          <w:sz w:val="20"/>
        </w:rPr>
        <w:t xml:space="preserve">Our engagement was conducted in accordance with </w:t>
      </w:r>
      <w:r w:rsidR="006F68FC" w:rsidRPr="00993D07">
        <w:rPr>
          <w:rFonts w:cs="Arial"/>
          <w:sz w:val="20"/>
        </w:rPr>
        <w:t xml:space="preserve">the </w:t>
      </w:r>
      <w:r w:rsidRPr="00993D07">
        <w:rPr>
          <w:rFonts w:cs="Arial"/>
          <w:sz w:val="20"/>
        </w:rPr>
        <w:t>Standard on Related Services ASRS 4400 Agreed-Upon Procedures Engagements to Report Factual Findings. That Standard requires that we comply with ethical requirements equivalent to Other Assurance Engagements, and plan and perform the agreed procedu</w:t>
      </w:r>
      <w:r w:rsidR="002C0206" w:rsidRPr="00993D07">
        <w:rPr>
          <w:rFonts w:cs="Arial"/>
          <w:sz w:val="20"/>
        </w:rPr>
        <w:t>res to obtain factual findings.</w:t>
      </w:r>
    </w:p>
    <w:p w:rsidR="00412004" w:rsidRPr="00993D07" w:rsidRDefault="00412004" w:rsidP="00412004">
      <w:pPr>
        <w:pStyle w:val="Heading2"/>
      </w:pPr>
      <w:bookmarkStart w:id="8" w:name="_Toc346891231"/>
      <w:r w:rsidRPr="00993D07">
        <w:t>Engagement Scope</w:t>
      </w:r>
      <w:bookmarkEnd w:id="8"/>
    </w:p>
    <w:p w:rsidR="00F071A3" w:rsidRPr="00993D07" w:rsidRDefault="00F071A3" w:rsidP="009C29C2">
      <w:pPr>
        <w:rPr>
          <w:rFonts w:cs="Arial"/>
        </w:rPr>
      </w:pPr>
      <w:r w:rsidRPr="00993D07">
        <w:rPr>
          <w:rFonts w:cs="Arial"/>
        </w:rPr>
        <w:t>Our engagement with you included;</w:t>
      </w:r>
    </w:p>
    <w:p w:rsidR="00F071A3" w:rsidRPr="00993D07" w:rsidRDefault="00F071A3" w:rsidP="009C29C2">
      <w:pPr>
        <w:rPr>
          <w:rFonts w:cs="Arial"/>
        </w:rPr>
      </w:pPr>
    </w:p>
    <w:p w:rsidR="00F071A3" w:rsidRPr="00993D07" w:rsidRDefault="00F071A3" w:rsidP="00FE5884">
      <w:pPr>
        <w:pStyle w:val="ListParagraph"/>
        <w:numPr>
          <w:ilvl w:val="0"/>
          <w:numId w:val="32"/>
        </w:numPr>
        <w:spacing w:after="200"/>
        <w:ind w:left="426" w:hanging="357"/>
        <w:contextualSpacing/>
        <w:jc w:val="both"/>
        <w:rPr>
          <w:rFonts w:cs="Arial"/>
        </w:rPr>
      </w:pPr>
      <w:r w:rsidRPr="00993D07">
        <w:rPr>
          <w:rFonts w:cs="Arial"/>
        </w:rPr>
        <w:t>Planning and update briefings with David Corney (Timesheet Co-ordination Project Manager) Anthony</w:t>
      </w:r>
      <w:r w:rsidR="00B861A2" w:rsidRPr="00993D07">
        <w:rPr>
          <w:rFonts w:cs="Arial"/>
        </w:rPr>
        <w:t xml:space="preserve"> DeJong </w:t>
      </w:r>
      <w:r w:rsidR="00174AB8">
        <w:rPr>
          <w:rFonts w:cs="Arial"/>
        </w:rPr>
        <w:t xml:space="preserve">(Financial Operations Manager) </w:t>
      </w:r>
      <w:r w:rsidR="00B861A2" w:rsidRPr="00993D07">
        <w:rPr>
          <w:rFonts w:cs="Arial"/>
        </w:rPr>
        <w:t>and John Ilott</w:t>
      </w:r>
      <w:r w:rsidR="00174AB8">
        <w:rPr>
          <w:rFonts w:cs="Arial"/>
        </w:rPr>
        <w:t xml:space="preserve"> (Director, Finance &amp; Corporate)</w:t>
      </w:r>
      <w:r w:rsidRPr="00993D07">
        <w:rPr>
          <w:rFonts w:cs="Arial"/>
        </w:rPr>
        <w:t>;</w:t>
      </w:r>
    </w:p>
    <w:p w:rsidR="00F071A3" w:rsidRPr="00993D07" w:rsidRDefault="00F071A3" w:rsidP="00FE5884">
      <w:pPr>
        <w:pStyle w:val="ListParagraph"/>
        <w:ind w:left="426" w:hanging="357"/>
        <w:jc w:val="both"/>
        <w:rPr>
          <w:rFonts w:cs="Arial"/>
        </w:rPr>
      </w:pPr>
    </w:p>
    <w:p w:rsidR="00F071A3" w:rsidRPr="00993D07" w:rsidRDefault="00F071A3" w:rsidP="00FE5884">
      <w:pPr>
        <w:pStyle w:val="ListParagraph"/>
        <w:numPr>
          <w:ilvl w:val="0"/>
          <w:numId w:val="32"/>
        </w:numPr>
        <w:spacing w:after="200"/>
        <w:ind w:left="426" w:hanging="357"/>
        <w:contextualSpacing/>
        <w:jc w:val="both"/>
        <w:rPr>
          <w:rFonts w:cs="Arial"/>
        </w:rPr>
      </w:pPr>
      <w:r w:rsidRPr="00993D07">
        <w:rPr>
          <w:rFonts w:cs="Arial"/>
        </w:rPr>
        <w:t xml:space="preserve">Review of data provided by management with a view to assess the completeness of the data collated and to report on the process used by management to collate and analyse the data obtained; </w:t>
      </w:r>
    </w:p>
    <w:p w:rsidR="00F071A3" w:rsidRPr="00993D07" w:rsidRDefault="00F071A3" w:rsidP="00FE5884">
      <w:pPr>
        <w:pStyle w:val="ListParagraph"/>
        <w:ind w:left="426"/>
        <w:jc w:val="both"/>
        <w:rPr>
          <w:rFonts w:cs="Arial"/>
        </w:rPr>
      </w:pPr>
    </w:p>
    <w:p w:rsidR="00F071A3" w:rsidRPr="00993D07" w:rsidRDefault="00F071A3" w:rsidP="00FE5884">
      <w:pPr>
        <w:pStyle w:val="ListParagraph"/>
        <w:numPr>
          <w:ilvl w:val="0"/>
          <w:numId w:val="32"/>
        </w:numPr>
        <w:spacing w:after="200"/>
        <w:ind w:left="426" w:hanging="357"/>
        <w:contextualSpacing/>
        <w:jc w:val="both"/>
        <w:rPr>
          <w:rFonts w:cs="Arial"/>
        </w:rPr>
      </w:pPr>
      <w:r w:rsidRPr="00993D07">
        <w:rPr>
          <w:rFonts w:cs="Arial"/>
        </w:rPr>
        <w:t>Review of management’s assumptions made in extrapolating the data obtained and commenting on the reasonableness of assumptions made;</w:t>
      </w:r>
    </w:p>
    <w:p w:rsidR="00F071A3" w:rsidRPr="00993D07" w:rsidRDefault="00F071A3" w:rsidP="00FE5884">
      <w:pPr>
        <w:pStyle w:val="ListParagraph"/>
        <w:ind w:left="426"/>
        <w:jc w:val="both"/>
        <w:rPr>
          <w:rFonts w:cs="Arial"/>
        </w:rPr>
      </w:pPr>
    </w:p>
    <w:p w:rsidR="00FE5884" w:rsidRPr="00993D07" w:rsidRDefault="00F071A3" w:rsidP="00FE5884">
      <w:pPr>
        <w:pStyle w:val="ListParagraph"/>
        <w:numPr>
          <w:ilvl w:val="0"/>
          <w:numId w:val="32"/>
        </w:numPr>
        <w:spacing w:after="200"/>
        <w:ind w:left="426" w:hanging="357"/>
        <w:contextualSpacing/>
        <w:jc w:val="both"/>
        <w:rPr>
          <w:rFonts w:cs="Arial"/>
        </w:rPr>
      </w:pPr>
      <w:r w:rsidRPr="00993D07">
        <w:rPr>
          <w:rFonts w:cs="Arial"/>
        </w:rPr>
        <w:t>Verification of the accuracy of management’s revised cost allocation percentages as a result of the findings of the timesheet data collection process and as a result of the assumptions made in item 3 above; and</w:t>
      </w:r>
    </w:p>
    <w:p w:rsidR="00FE5884" w:rsidRPr="00993D07" w:rsidRDefault="00FE5884" w:rsidP="00FE5884">
      <w:pPr>
        <w:pStyle w:val="ListParagraph"/>
        <w:ind w:left="426"/>
        <w:rPr>
          <w:rFonts w:cs="Arial"/>
        </w:rPr>
      </w:pPr>
    </w:p>
    <w:p w:rsidR="00F071A3" w:rsidRPr="00993D07" w:rsidRDefault="00F071A3" w:rsidP="00FE5884">
      <w:pPr>
        <w:pStyle w:val="ListParagraph"/>
        <w:numPr>
          <w:ilvl w:val="0"/>
          <w:numId w:val="32"/>
        </w:numPr>
        <w:spacing w:after="200"/>
        <w:ind w:left="426" w:hanging="357"/>
        <w:contextualSpacing/>
        <w:jc w:val="both"/>
        <w:rPr>
          <w:rFonts w:cs="Arial"/>
        </w:rPr>
      </w:pPr>
      <w:r w:rsidRPr="00993D07">
        <w:rPr>
          <w:rFonts w:cs="Arial"/>
        </w:rPr>
        <w:t>Completion of a report to the National Executive confirming our findings and observations.</w:t>
      </w:r>
    </w:p>
    <w:p w:rsidR="00F071A3" w:rsidRPr="00993D07" w:rsidRDefault="00F071A3" w:rsidP="00FE5884">
      <w:pPr>
        <w:pStyle w:val="Heading2"/>
        <w:ind w:left="709"/>
        <w:jc w:val="both"/>
      </w:pPr>
      <w:bookmarkStart w:id="9" w:name="_Toc346891232"/>
      <w:r w:rsidRPr="00993D07">
        <w:t>Conclusion</w:t>
      </w:r>
      <w:bookmarkEnd w:id="9"/>
    </w:p>
    <w:p w:rsidR="00FE5884" w:rsidRPr="00993D07" w:rsidRDefault="00FE5884" w:rsidP="00FE5884">
      <w:pPr>
        <w:pStyle w:val="DefaultText"/>
        <w:spacing w:line="260" w:lineRule="atLeast"/>
        <w:ind w:left="-11"/>
        <w:rPr>
          <w:rFonts w:cs="Arial"/>
          <w:sz w:val="20"/>
        </w:rPr>
      </w:pPr>
      <w:r w:rsidRPr="00993D07">
        <w:rPr>
          <w:rFonts w:cs="Arial"/>
          <w:sz w:val="20"/>
        </w:rPr>
        <w:t>We have completed all aspects of our engagement scope.  Our findings are as follows;</w:t>
      </w:r>
    </w:p>
    <w:p w:rsidR="00FE5884" w:rsidRPr="00993D07" w:rsidRDefault="00FE5884" w:rsidP="00FE5884">
      <w:pPr>
        <w:pStyle w:val="DefaultText"/>
        <w:spacing w:line="260" w:lineRule="atLeast"/>
        <w:ind w:left="426" w:hanging="426"/>
        <w:rPr>
          <w:rFonts w:cs="Arial"/>
          <w:sz w:val="20"/>
        </w:rPr>
      </w:pPr>
    </w:p>
    <w:p w:rsidR="00FE5884" w:rsidRPr="00993D07" w:rsidRDefault="00FE5884" w:rsidP="00FE5884">
      <w:pPr>
        <w:pStyle w:val="ListParagraph"/>
        <w:numPr>
          <w:ilvl w:val="0"/>
          <w:numId w:val="38"/>
        </w:numPr>
        <w:spacing w:after="200"/>
        <w:ind w:left="426"/>
        <w:contextualSpacing/>
        <w:jc w:val="both"/>
        <w:rPr>
          <w:rFonts w:cs="Arial"/>
        </w:rPr>
      </w:pPr>
      <w:r w:rsidRPr="00993D07">
        <w:rPr>
          <w:rFonts w:cs="Arial"/>
        </w:rPr>
        <w:t xml:space="preserve">Weekly meetings were held with Anthony DeJong and David Corney during December 2012.  Planning meetings addressed variations in data and were used to test assumptions and calculations. </w:t>
      </w:r>
    </w:p>
    <w:p w:rsidR="00FE5884" w:rsidRPr="00993D07" w:rsidRDefault="00FE5884" w:rsidP="00FE5884">
      <w:pPr>
        <w:pStyle w:val="ListParagraph"/>
        <w:spacing w:after="200"/>
        <w:ind w:left="426"/>
        <w:contextualSpacing/>
        <w:jc w:val="both"/>
        <w:rPr>
          <w:rFonts w:cs="Arial"/>
        </w:rPr>
      </w:pPr>
    </w:p>
    <w:p w:rsidR="00FE5884" w:rsidRPr="00993D07" w:rsidRDefault="00FE5884" w:rsidP="00FE5884">
      <w:pPr>
        <w:pStyle w:val="ListParagraph"/>
        <w:numPr>
          <w:ilvl w:val="0"/>
          <w:numId w:val="38"/>
        </w:numPr>
        <w:spacing w:after="200"/>
        <w:ind w:left="426"/>
        <w:contextualSpacing/>
        <w:jc w:val="both"/>
        <w:rPr>
          <w:rFonts w:cs="Arial"/>
        </w:rPr>
      </w:pPr>
      <w:r w:rsidRPr="00993D07">
        <w:rPr>
          <w:rFonts w:cs="Arial"/>
        </w:rPr>
        <w:t>The data compiled during the timesheet period covered a 3 month period, ending 7 December 2012.  The data collated was tested for completeness</w:t>
      </w:r>
      <w:r w:rsidR="003F4C1F">
        <w:rPr>
          <w:rFonts w:cs="Arial"/>
        </w:rPr>
        <w:t xml:space="preserve"> and accuracy</w:t>
      </w:r>
      <w:r w:rsidRPr="00993D07">
        <w:rPr>
          <w:rFonts w:cs="Arial"/>
        </w:rPr>
        <w:t xml:space="preserve">.  The data was further analysed to ensure that the data collected was in line with the methodology </w:t>
      </w:r>
      <w:r w:rsidR="00A9294F" w:rsidRPr="00993D07">
        <w:rPr>
          <w:rFonts w:cs="Arial"/>
        </w:rPr>
        <w:t xml:space="preserve">(Refer Section 4) </w:t>
      </w:r>
      <w:r w:rsidRPr="00993D07">
        <w:rPr>
          <w:rFonts w:cs="Arial"/>
        </w:rPr>
        <w:t xml:space="preserve">determined by the AHPRA timesheet project team.  </w:t>
      </w:r>
    </w:p>
    <w:p w:rsidR="00FE5884" w:rsidRPr="00993D07" w:rsidRDefault="00FE5884" w:rsidP="00FE5884">
      <w:pPr>
        <w:pStyle w:val="ListParagraph"/>
        <w:rPr>
          <w:rFonts w:cs="Arial"/>
        </w:rPr>
      </w:pPr>
    </w:p>
    <w:p w:rsidR="00FE5884" w:rsidRPr="00993D07" w:rsidRDefault="00FE5884" w:rsidP="00FE5884">
      <w:pPr>
        <w:pStyle w:val="ListParagraph"/>
        <w:spacing w:after="200"/>
        <w:ind w:left="426"/>
        <w:contextualSpacing/>
        <w:jc w:val="both"/>
        <w:rPr>
          <w:rFonts w:cs="Arial"/>
        </w:rPr>
      </w:pPr>
      <w:r w:rsidRPr="00993D07">
        <w:rPr>
          <w:rFonts w:cs="Arial"/>
        </w:rPr>
        <w:t>Variations in the data were analysed by Moore Stephens in conjunction with the project team.  We</w:t>
      </w:r>
      <w:r w:rsidR="00A9294F" w:rsidRPr="00993D07">
        <w:rPr>
          <w:rFonts w:cs="Arial"/>
        </w:rPr>
        <w:t xml:space="preserve"> are satisfied that the data has been captured in accordance with the methodology and that anomalies have been addressed by management.  </w:t>
      </w:r>
      <w:r w:rsidR="006F68FC" w:rsidRPr="00993D07">
        <w:rPr>
          <w:rFonts w:cs="Arial"/>
        </w:rPr>
        <w:t>(</w:t>
      </w:r>
      <w:r w:rsidR="00A9294F" w:rsidRPr="00993D07">
        <w:rPr>
          <w:rFonts w:cs="Arial"/>
        </w:rPr>
        <w:t xml:space="preserve">Refer Appendix </w:t>
      </w:r>
      <w:r w:rsidR="00773567" w:rsidRPr="00993D07">
        <w:rPr>
          <w:rFonts w:cs="Arial"/>
        </w:rPr>
        <w:t>4</w:t>
      </w:r>
      <w:r w:rsidR="00A9294F" w:rsidRPr="00993D07">
        <w:rPr>
          <w:rFonts w:cs="Arial"/>
        </w:rPr>
        <w:t xml:space="preserve"> for further details</w:t>
      </w:r>
      <w:r w:rsidR="006F68FC" w:rsidRPr="00993D07">
        <w:rPr>
          <w:rFonts w:cs="Arial"/>
        </w:rPr>
        <w:t>)</w:t>
      </w:r>
      <w:r w:rsidR="00A9294F" w:rsidRPr="00993D07">
        <w:rPr>
          <w:rFonts w:cs="Arial"/>
        </w:rPr>
        <w:t>.</w:t>
      </w:r>
    </w:p>
    <w:p w:rsidR="00FE5884" w:rsidRPr="00993D07" w:rsidRDefault="00FE5884" w:rsidP="00FE5884">
      <w:pPr>
        <w:pStyle w:val="ListParagraph"/>
        <w:rPr>
          <w:rFonts w:cs="Arial"/>
        </w:rPr>
      </w:pPr>
    </w:p>
    <w:p w:rsidR="00A9294F" w:rsidRPr="00993D07" w:rsidRDefault="00A9294F" w:rsidP="00A9294F">
      <w:pPr>
        <w:pStyle w:val="ListParagraph"/>
        <w:numPr>
          <w:ilvl w:val="0"/>
          <w:numId w:val="38"/>
        </w:numPr>
        <w:spacing w:after="200"/>
        <w:ind w:left="426"/>
        <w:contextualSpacing/>
        <w:jc w:val="both"/>
        <w:rPr>
          <w:rFonts w:cs="Arial"/>
        </w:rPr>
      </w:pPr>
      <w:r w:rsidRPr="00993D07">
        <w:rPr>
          <w:rFonts w:cs="Arial"/>
        </w:rPr>
        <w:t xml:space="preserve">Management have made a number of assumptions in the extrapolation of data.  This is a necessary part of ensuring that the final cost allocation percentage proposed has considered any material matters that had not been captured in the sample period.  We are satisfied that </w:t>
      </w:r>
      <w:r w:rsidR="00750040" w:rsidRPr="00993D07">
        <w:rPr>
          <w:rFonts w:cs="Arial"/>
        </w:rPr>
        <w:t>t</w:t>
      </w:r>
      <w:r w:rsidRPr="00993D07">
        <w:rPr>
          <w:rFonts w:cs="Arial"/>
        </w:rPr>
        <w:t>he adjustments made to the sample data a</w:t>
      </w:r>
      <w:r w:rsidR="00750040" w:rsidRPr="00993D07">
        <w:rPr>
          <w:rFonts w:cs="Arial"/>
        </w:rPr>
        <w:t>ppear</w:t>
      </w:r>
      <w:r w:rsidRPr="00993D07">
        <w:rPr>
          <w:rFonts w:cs="Arial"/>
        </w:rPr>
        <w:t xml:space="preserve"> reasonable (Refer Appendix 1 and Appendix 2 for details) </w:t>
      </w:r>
      <w:r w:rsidR="00750040" w:rsidRPr="00993D07">
        <w:rPr>
          <w:rFonts w:cs="Arial"/>
        </w:rPr>
        <w:t>based upon the information supplied by AHPRA management</w:t>
      </w:r>
      <w:r w:rsidRPr="00993D07">
        <w:rPr>
          <w:rFonts w:cs="Arial"/>
        </w:rPr>
        <w:t>.</w:t>
      </w:r>
    </w:p>
    <w:p w:rsidR="00A9294F" w:rsidRPr="00993D07" w:rsidRDefault="00A9294F" w:rsidP="00A9294F">
      <w:pPr>
        <w:pStyle w:val="ListParagraph"/>
        <w:spacing w:after="200"/>
        <w:ind w:left="426"/>
        <w:contextualSpacing/>
        <w:jc w:val="both"/>
        <w:rPr>
          <w:rFonts w:cs="Arial"/>
        </w:rPr>
      </w:pPr>
    </w:p>
    <w:p w:rsidR="00A9294F" w:rsidRPr="00993D07" w:rsidRDefault="00A9294F" w:rsidP="00A9294F">
      <w:pPr>
        <w:pStyle w:val="ListParagraph"/>
        <w:numPr>
          <w:ilvl w:val="0"/>
          <w:numId w:val="38"/>
        </w:numPr>
        <w:spacing w:after="200"/>
        <w:ind w:left="426"/>
        <w:contextualSpacing/>
        <w:jc w:val="both"/>
        <w:rPr>
          <w:rFonts w:cs="Arial"/>
        </w:rPr>
      </w:pPr>
      <w:r w:rsidRPr="00993D07">
        <w:rPr>
          <w:rFonts w:cs="Arial"/>
        </w:rPr>
        <w:t xml:space="preserve">We are satisfied that management has aggregated timesheet data accurately and that all adjustments to the base timesheet data have been calculated accurately. </w:t>
      </w:r>
    </w:p>
    <w:p w:rsidR="00A9294F" w:rsidRPr="00993D07" w:rsidRDefault="00A9294F" w:rsidP="00A9294F">
      <w:pPr>
        <w:pStyle w:val="ListParagraph"/>
        <w:rPr>
          <w:rFonts w:cs="Arial"/>
        </w:rPr>
      </w:pPr>
    </w:p>
    <w:p w:rsidR="00FE5884" w:rsidRPr="00993D07" w:rsidRDefault="00FE5884" w:rsidP="00FE5884">
      <w:pPr>
        <w:pStyle w:val="ListParagraph"/>
        <w:spacing w:after="200"/>
        <w:ind w:left="426"/>
        <w:contextualSpacing/>
        <w:jc w:val="both"/>
        <w:rPr>
          <w:rFonts w:cs="Arial"/>
        </w:rPr>
      </w:pPr>
    </w:p>
    <w:p w:rsidR="00A9294F" w:rsidRPr="00993D07" w:rsidRDefault="00A9294F">
      <w:pPr>
        <w:spacing w:line="240" w:lineRule="auto"/>
        <w:rPr>
          <w:rFonts w:cs="Arial"/>
          <w:bCs/>
          <w:snapToGrid w:val="0"/>
          <w:color w:val="00B0F0"/>
          <w:sz w:val="24"/>
          <w:szCs w:val="24"/>
        </w:rPr>
      </w:pPr>
      <w:r w:rsidRPr="00993D07">
        <w:br w:type="page"/>
      </w:r>
    </w:p>
    <w:p w:rsidR="00A9294F" w:rsidRPr="00993D07" w:rsidRDefault="00A9294F" w:rsidP="00A9294F">
      <w:pPr>
        <w:pStyle w:val="Heading2"/>
        <w:ind w:left="709"/>
        <w:jc w:val="both"/>
      </w:pPr>
      <w:bookmarkStart w:id="10" w:name="_Toc346891233"/>
      <w:r w:rsidRPr="00993D07">
        <w:t>Proposed Allocation Percentages – 1 July 2013</w:t>
      </w:r>
      <w:bookmarkEnd w:id="10"/>
    </w:p>
    <w:p w:rsidR="00B7338C" w:rsidRPr="00993D07" w:rsidRDefault="00B7338C" w:rsidP="00A9294F">
      <w:pPr>
        <w:pStyle w:val="DefaultText"/>
        <w:spacing w:line="260" w:lineRule="atLeast"/>
        <w:rPr>
          <w:rFonts w:cs="Arial"/>
          <w:sz w:val="20"/>
        </w:rPr>
      </w:pPr>
      <w:r w:rsidRPr="00993D07">
        <w:rPr>
          <w:rFonts w:cs="Arial"/>
          <w:sz w:val="20"/>
        </w:rPr>
        <w:t xml:space="preserve">Based on the data obtained from the timesheet survey and considering the adjustments made and the assumptions underlying those adjustments, the proposed 2013/2014 cost allocation is </w:t>
      </w:r>
      <w:r w:rsidR="00B861A2" w:rsidRPr="00993D07">
        <w:rPr>
          <w:rFonts w:cs="Arial"/>
          <w:sz w:val="20"/>
        </w:rPr>
        <w:t>represented in the table below</w:t>
      </w:r>
      <w:r w:rsidRPr="00993D07">
        <w:rPr>
          <w:rFonts w:cs="Arial"/>
          <w:sz w:val="20"/>
        </w:rPr>
        <w:t>.</w:t>
      </w:r>
    </w:p>
    <w:p w:rsidR="00B7338C" w:rsidRDefault="00B7338C" w:rsidP="00B7338C">
      <w:pPr>
        <w:pStyle w:val="DefaultText"/>
        <w:spacing w:line="260" w:lineRule="atLeast"/>
        <w:rPr>
          <w:rFonts w:cs="Arial"/>
          <w:sz w:val="22"/>
        </w:rPr>
      </w:pPr>
    </w:p>
    <w:p w:rsidR="006A608C" w:rsidRPr="006A608C" w:rsidRDefault="006A608C" w:rsidP="00B7338C">
      <w:pPr>
        <w:pStyle w:val="DefaultText"/>
        <w:spacing w:line="260" w:lineRule="atLeast"/>
        <w:rPr>
          <w:rFonts w:cs="Arial"/>
          <w:i/>
          <w:sz w:val="22"/>
        </w:rPr>
      </w:pPr>
      <w:r>
        <w:rPr>
          <w:rFonts w:cs="Arial"/>
          <w:i/>
          <w:sz w:val="22"/>
        </w:rPr>
        <w:t xml:space="preserve">Table - </w:t>
      </w:r>
      <w:r w:rsidRPr="006A608C">
        <w:rPr>
          <w:rFonts w:cs="Arial"/>
          <w:i/>
          <w:sz w:val="22"/>
        </w:rPr>
        <w:t>Proposed allocations for 2013-14</w:t>
      </w:r>
    </w:p>
    <w:p w:rsidR="006A608C" w:rsidRPr="00993D07" w:rsidRDefault="00703A57" w:rsidP="00703A57">
      <w:pPr>
        <w:pStyle w:val="DefaultText"/>
        <w:spacing w:line="260" w:lineRule="atLeast"/>
        <w:rPr>
          <w:rFonts w:cs="Arial"/>
          <w:sz w:val="22"/>
        </w:rPr>
      </w:pPr>
      <w:r>
        <w:rPr>
          <w:rFonts w:cs="Arial"/>
          <w:sz w:val="22"/>
        </w:rPr>
        <w:tab/>
      </w:r>
    </w:p>
    <w:tbl>
      <w:tblPr>
        <w:tblW w:w="9371" w:type="dxa"/>
        <w:tblInd w:w="93" w:type="dxa"/>
        <w:tblLayout w:type="fixed"/>
        <w:tblLook w:val="04A0"/>
      </w:tblPr>
      <w:tblGrid>
        <w:gridCol w:w="2672"/>
        <w:gridCol w:w="1171"/>
        <w:gridCol w:w="1134"/>
        <w:gridCol w:w="1134"/>
        <w:gridCol w:w="1275"/>
        <w:gridCol w:w="993"/>
        <w:gridCol w:w="992"/>
      </w:tblGrid>
      <w:tr w:rsidR="009C29C2" w:rsidRPr="00993D07" w:rsidTr="009C29C2">
        <w:trPr>
          <w:trHeight w:val="705"/>
        </w:trPr>
        <w:tc>
          <w:tcPr>
            <w:tcW w:w="2672" w:type="dxa"/>
            <w:tcBorders>
              <w:top w:val="single" w:sz="8" w:space="0" w:color="00B0F0"/>
              <w:left w:val="single" w:sz="8" w:space="0" w:color="00B0F0"/>
              <w:bottom w:val="single" w:sz="8" w:space="0" w:color="009ADF"/>
              <w:right w:val="single" w:sz="8" w:space="0" w:color="FFFFFF"/>
            </w:tcBorders>
            <w:shd w:val="clear" w:color="000000" w:fill="00B0F0"/>
            <w:vAlign w:val="bottom"/>
            <w:hideMark/>
          </w:tcPr>
          <w:p w:rsidR="00AF2122" w:rsidRPr="00993D07" w:rsidRDefault="00AF2122" w:rsidP="00AF2122">
            <w:pPr>
              <w:spacing w:line="240" w:lineRule="auto"/>
              <w:rPr>
                <w:rFonts w:cs="Arial"/>
                <w:b/>
                <w:bCs/>
                <w:color w:val="FFFFFF"/>
                <w:sz w:val="16"/>
                <w:szCs w:val="16"/>
                <w:lang w:eastAsia="en-AU"/>
              </w:rPr>
            </w:pPr>
            <w:r w:rsidRPr="00993D07">
              <w:rPr>
                <w:rFonts w:cs="Arial"/>
                <w:b/>
                <w:bCs/>
                <w:color w:val="FFFFFF"/>
                <w:sz w:val="16"/>
                <w:szCs w:val="16"/>
                <w:lang w:eastAsia="en-AU"/>
              </w:rPr>
              <w:t>National Board</w:t>
            </w:r>
          </w:p>
        </w:tc>
        <w:tc>
          <w:tcPr>
            <w:tcW w:w="1171" w:type="dxa"/>
            <w:tcBorders>
              <w:top w:val="single" w:sz="8" w:space="0" w:color="00B0F0"/>
              <w:left w:val="nil"/>
              <w:bottom w:val="single" w:sz="8" w:space="0" w:color="FFFFFF"/>
              <w:right w:val="single" w:sz="8" w:space="0" w:color="FFFFFF"/>
            </w:tcBorders>
            <w:shd w:val="clear" w:color="000000" w:fill="00B0F0"/>
            <w:vAlign w:val="bottom"/>
            <w:hideMark/>
          </w:tcPr>
          <w:p w:rsidR="00AF2122" w:rsidRPr="00993D07" w:rsidRDefault="00AF2122" w:rsidP="00AF2122">
            <w:pPr>
              <w:spacing w:line="240" w:lineRule="auto"/>
              <w:jc w:val="center"/>
              <w:rPr>
                <w:rFonts w:cs="Arial"/>
                <w:b/>
                <w:bCs/>
                <w:color w:val="FFFFFF"/>
                <w:sz w:val="16"/>
                <w:szCs w:val="16"/>
                <w:lang w:eastAsia="en-AU"/>
              </w:rPr>
            </w:pPr>
            <w:r w:rsidRPr="00993D07">
              <w:rPr>
                <w:rFonts w:cs="Arial"/>
                <w:b/>
                <w:bCs/>
                <w:color w:val="FFFFFF"/>
                <w:sz w:val="16"/>
                <w:szCs w:val="16"/>
                <w:lang w:eastAsia="en-AU"/>
              </w:rPr>
              <w:t>2010 / 2011 Allocation</w:t>
            </w:r>
          </w:p>
        </w:tc>
        <w:tc>
          <w:tcPr>
            <w:tcW w:w="1134" w:type="dxa"/>
            <w:tcBorders>
              <w:top w:val="single" w:sz="8" w:space="0" w:color="00B0F0"/>
              <w:left w:val="nil"/>
              <w:bottom w:val="single" w:sz="8" w:space="0" w:color="FFFFFF"/>
              <w:right w:val="single" w:sz="8" w:space="0" w:color="FFFFFF"/>
            </w:tcBorders>
            <w:shd w:val="clear" w:color="000000" w:fill="00B0F0"/>
            <w:vAlign w:val="bottom"/>
            <w:hideMark/>
          </w:tcPr>
          <w:p w:rsidR="00AF2122" w:rsidRPr="00993D07" w:rsidRDefault="00AF2122" w:rsidP="00AF2122">
            <w:pPr>
              <w:spacing w:line="240" w:lineRule="auto"/>
              <w:jc w:val="center"/>
              <w:rPr>
                <w:rFonts w:cs="Arial"/>
                <w:b/>
                <w:bCs/>
                <w:color w:val="FFFFFF"/>
                <w:sz w:val="16"/>
                <w:szCs w:val="16"/>
                <w:lang w:eastAsia="en-AU"/>
              </w:rPr>
            </w:pPr>
            <w:r w:rsidRPr="00993D07">
              <w:rPr>
                <w:rFonts w:cs="Arial"/>
                <w:b/>
                <w:bCs/>
                <w:color w:val="FFFFFF"/>
                <w:sz w:val="16"/>
                <w:szCs w:val="16"/>
                <w:lang w:eastAsia="en-AU"/>
              </w:rPr>
              <w:t>2011 / 2012 Allocation</w:t>
            </w:r>
          </w:p>
        </w:tc>
        <w:tc>
          <w:tcPr>
            <w:tcW w:w="1134" w:type="dxa"/>
            <w:tcBorders>
              <w:top w:val="single" w:sz="8" w:space="0" w:color="00B0F0"/>
              <w:left w:val="nil"/>
              <w:bottom w:val="single" w:sz="8" w:space="0" w:color="FFFFFF"/>
              <w:right w:val="single" w:sz="8" w:space="0" w:color="FFFFFF"/>
            </w:tcBorders>
            <w:shd w:val="clear" w:color="000000" w:fill="00B0F0"/>
            <w:vAlign w:val="bottom"/>
            <w:hideMark/>
          </w:tcPr>
          <w:p w:rsidR="00AF2122" w:rsidRPr="00993D07" w:rsidRDefault="00AF2122" w:rsidP="00AF2122">
            <w:pPr>
              <w:spacing w:line="240" w:lineRule="auto"/>
              <w:jc w:val="center"/>
              <w:rPr>
                <w:rFonts w:cs="Arial"/>
                <w:b/>
                <w:bCs/>
                <w:color w:val="FFFFFF"/>
                <w:sz w:val="16"/>
                <w:szCs w:val="16"/>
                <w:lang w:eastAsia="en-AU"/>
              </w:rPr>
            </w:pPr>
            <w:r w:rsidRPr="00993D07">
              <w:rPr>
                <w:rFonts w:cs="Arial"/>
                <w:b/>
                <w:bCs/>
                <w:color w:val="FFFFFF"/>
                <w:sz w:val="16"/>
                <w:szCs w:val="16"/>
                <w:lang w:eastAsia="en-AU"/>
              </w:rPr>
              <w:t>2012 / 2013 Allocation</w:t>
            </w:r>
          </w:p>
        </w:tc>
        <w:tc>
          <w:tcPr>
            <w:tcW w:w="1275" w:type="dxa"/>
            <w:tcBorders>
              <w:top w:val="single" w:sz="8" w:space="0" w:color="00B0F0"/>
              <w:left w:val="nil"/>
              <w:bottom w:val="single" w:sz="8" w:space="0" w:color="FFFFFF"/>
              <w:right w:val="single" w:sz="8" w:space="0" w:color="FFFFFF"/>
            </w:tcBorders>
            <w:shd w:val="clear" w:color="000000" w:fill="00B0F0"/>
            <w:vAlign w:val="bottom"/>
            <w:hideMark/>
          </w:tcPr>
          <w:p w:rsidR="00AF2122" w:rsidRPr="00993D07" w:rsidRDefault="00AF2122" w:rsidP="00AF2122">
            <w:pPr>
              <w:spacing w:line="240" w:lineRule="auto"/>
              <w:jc w:val="center"/>
              <w:rPr>
                <w:rFonts w:cs="Arial"/>
                <w:b/>
                <w:bCs/>
                <w:color w:val="FFFFFF"/>
                <w:sz w:val="18"/>
                <w:szCs w:val="18"/>
                <w:lang w:eastAsia="en-AU"/>
              </w:rPr>
            </w:pPr>
            <w:r w:rsidRPr="00993D07">
              <w:rPr>
                <w:rFonts w:cs="Arial"/>
                <w:b/>
                <w:bCs/>
                <w:color w:val="FFFFFF"/>
                <w:sz w:val="18"/>
                <w:szCs w:val="18"/>
                <w:lang w:eastAsia="en-AU"/>
              </w:rPr>
              <w:t>Proposed 2013 / 2014 Allocation</w:t>
            </w:r>
          </w:p>
        </w:tc>
        <w:tc>
          <w:tcPr>
            <w:tcW w:w="993" w:type="dxa"/>
            <w:tcBorders>
              <w:top w:val="single" w:sz="8" w:space="0" w:color="00B0F0"/>
              <w:left w:val="nil"/>
              <w:bottom w:val="single" w:sz="8" w:space="0" w:color="FFFFFF"/>
              <w:right w:val="single" w:sz="8" w:space="0" w:color="FFFFFF"/>
            </w:tcBorders>
            <w:shd w:val="clear" w:color="000000" w:fill="00B0F0"/>
            <w:vAlign w:val="bottom"/>
            <w:hideMark/>
          </w:tcPr>
          <w:p w:rsidR="00AF2122" w:rsidRPr="00993D07" w:rsidRDefault="00AF2122" w:rsidP="00AF2122">
            <w:pPr>
              <w:spacing w:line="240" w:lineRule="auto"/>
              <w:jc w:val="center"/>
              <w:rPr>
                <w:rFonts w:cs="Arial"/>
                <w:b/>
                <w:bCs/>
                <w:i/>
                <w:iCs/>
                <w:color w:val="FFFFFF"/>
                <w:sz w:val="16"/>
                <w:szCs w:val="16"/>
                <w:lang w:eastAsia="en-AU"/>
              </w:rPr>
            </w:pPr>
            <w:r w:rsidRPr="00993D07">
              <w:rPr>
                <w:rFonts w:cs="Arial"/>
                <w:b/>
                <w:bCs/>
                <w:i/>
                <w:iCs/>
                <w:color w:val="FFFFFF"/>
                <w:sz w:val="16"/>
                <w:szCs w:val="16"/>
                <w:lang w:eastAsia="en-AU"/>
              </w:rPr>
              <w:t>Variability Range (-) *</w:t>
            </w:r>
          </w:p>
        </w:tc>
        <w:tc>
          <w:tcPr>
            <w:tcW w:w="992" w:type="dxa"/>
            <w:tcBorders>
              <w:top w:val="single" w:sz="8" w:space="0" w:color="00B0F0"/>
              <w:left w:val="nil"/>
              <w:bottom w:val="single" w:sz="8" w:space="0" w:color="009ADF"/>
              <w:right w:val="single" w:sz="8" w:space="0" w:color="00B0F0"/>
            </w:tcBorders>
            <w:shd w:val="clear" w:color="000000" w:fill="00B0F0"/>
            <w:vAlign w:val="bottom"/>
            <w:hideMark/>
          </w:tcPr>
          <w:p w:rsidR="00AF2122" w:rsidRPr="00993D07" w:rsidRDefault="00AF2122" w:rsidP="00AF2122">
            <w:pPr>
              <w:spacing w:line="240" w:lineRule="auto"/>
              <w:jc w:val="center"/>
              <w:rPr>
                <w:rFonts w:cs="Arial"/>
                <w:b/>
                <w:bCs/>
                <w:i/>
                <w:iCs/>
                <w:color w:val="FFFFFF"/>
                <w:sz w:val="16"/>
                <w:szCs w:val="16"/>
                <w:lang w:eastAsia="en-AU"/>
              </w:rPr>
            </w:pPr>
            <w:r w:rsidRPr="00993D07">
              <w:rPr>
                <w:rFonts w:cs="Arial"/>
                <w:b/>
                <w:bCs/>
                <w:i/>
                <w:iCs/>
                <w:color w:val="FFFFFF"/>
                <w:sz w:val="16"/>
                <w:szCs w:val="16"/>
                <w:lang w:eastAsia="en-AU"/>
              </w:rPr>
              <w:t>Variability Range (+) *</w:t>
            </w:r>
          </w:p>
        </w:tc>
      </w:tr>
      <w:tr w:rsidR="009C29C2" w:rsidRPr="00993D07" w:rsidTr="009C29C2">
        <w:trPr>
          <w:trHeight w:val="315"/>
        </w:trPr>
        <w:tc>
          <w:tcPr>
            <w:tcW w:w="2672"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Aboriginal and Torres Strait Islander Health Practice</w:t>
            </w:r>
          </w:p>
        </w:tc>
        <w:tc>
          <w:tcPr>
            <w:tcW w:w="1171"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n/a</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n/a</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0.20%</w:t>
            </w:r>
          </w:p>
        </w:tc>
        <w:tc>
          <w:tcPr>
            <w:tcW w:w="1275"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0.19%</w:t>
            </w:r>
          </w:p>
        </w:tc>
        <w:tc>
          <w:tcPr>
            <w:tcW w:w="993"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0.18%</w:t>
            </w:r>
          </w:p>
        </w:tc>
        <w:tc>
          <w:tcPr>
            <w:tcW w:w="992"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0.20%</w:t>
            </w:r>
          </w:p>
        </w:tc>
      </w:tr>
      <w:tr w:rsidR="009C29C2" w:rsidRPr="00993D07" w:rsidTr="009C29C2">
        <w:trPr>
          <w:trHeight w:val="315"/>
        </w:trPr>
        <w:tc>
          <w:tcPr>
            <w:tcW w:w="2672"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Chinese Medicine</w:t>
            </w:r>
          </w:p>
        </w:tc>
        <w:tc>
          <w:tcPr>
            <w:tcW w:w="1171"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n/a</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n/a</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1.00%</w:t>
            </w:r>
          </w:p>
        </w:tc>
        <w:tc>
          <w:tcPr>
            <w:tcW w:w="1275"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1.06%</w:t>
            </w:r>
          </w:p>
        </w:tc>
        <w:tc>
          <w:tcPr>
            <w:tcW w:w="993"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1.02%</w:t>
            </w:r>
          </w:p>
        </w:tc>
        <w:tc>
          <w:tcPr>
            <w:tcW w:w="992"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1.10%</w:t>
            </w:r>
          </w:p>
        </w:tc>
      </w:tr>
      <w:tr w:rsidR="009C29C2" w:rsidRPr="00993D07" w:rsidTr="009C29C2">
        <w:trPr>
          <w:trHeight w:val="315"/>
        </w:trPr>
        <w:tc>
          <w:tcPr>
            <w:tcW w:w="2672"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Chiropractic</w:t>
            </w:r>
          </w:p>
        </w:tc>
        <w:tc>
          <w:tcPr>
            <w:tcW w:w="1171"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1.10%</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1.10%</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1.05%</w:t>
            </w:r>
          </w:p>
        </w:tc>
        <w:tc>
          <w:tcPr>
            <w:tcW w:w="1275"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1.42%</w:t>
            </w:r>
          </w:p>
        </w:tc>
        <w:tc>
          <w:tcPr>
            <w:tcW w:w="993"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1.35%</w:t>
            </w:r>
          </w:p>
        </w:tc>
        <w:tc>
          <w:tcPr>
            <w:tcW w:w="992"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1.49%</w:t>
            </w:r>
          </w:p>
        </w:tc>
      </w:tr>
      <w:tr w:rsidR="009C29C2" w:rsidRPr="00993D07" w:rsidTr="009C29C2">
        <w:trPr>
          <w:trHeight w:val="315"/>
        </w:trPr>
        <w:tc>
          <w:tcPr>
            <w:tcW w:w="2672"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 xml:space="preserve">Dental </w:t>
            </w:r>
          </w:p>
        </w:tc>
        <w:tc>
          <w:tcPr>
            <w:tcW w:w="1171"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6.13%</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6.13%</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5.84%</w:t>
            </w:r>
          </w:p>
        </w:tc>
        <w:tc>
          <w:tcPr>
            <w:tcW w:w="1275"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6.22%</w:t>
            </w:r>
          </w:p>
        </w:tc>
        <w:tc>
          <w:tcPr>
            <w:tcW w:w="993"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5.91%</w:t>
            </w:r>
          </w:p>
        </w:tc>
        <w:tc>
          <w:tcPr>
            <w:tcW w:w="992"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6.53%</w:t>
            </w:r>
          </w:p>
        </w:tc>
      </w:tr>
      <w:tr w:rsidR="009C29C2" w:rsidRPr="00993D07" w:rsidTr="009C29C2">
        <w:trPr>
          <w:trHeight w:val="315"/>
        </w:trPr>
        <w:tc>
          <w:tcPr>
            <w:tcW w:w="2672"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Medical</w:t>
            </w:r>
          </w:p>
        </w:tc>
        <w:tc>
          <w:tcPr>
            <w:tcW w:w="1171"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39.00%</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39.00%</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37.15%</w:t>
            </w:r>
          </w:p>
        </w:tc>
        <w:tc>
          <w:tcPr>
            <w:tcW w:w="1275"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35.60%</w:t>
            </w:r>
          </w:p>
        </w:tc>
        <w:tc>
          <w:tcPr>
            <w:tcW w:w="993"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33.82%</w:t>
            </w:r>
          </w:p>
        </w:tc>
        <w:tc>
          <w:tcPr>
            <w:tcW w:w="992"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37.38%</w:t>
            </w:r>
          </w:p>
        </w:tc>
      </w:tr>
      <w:tr w:rsidR="009C29C2" w:rsidRPr="00993D07" w:rsidTr="009C29C2">
        <w:trPr>
          <w:trHeight w:val="315"/>
        </w:trPr>
        <w:tc>
          <w:tcPr>
            <w:tcW w:w="2672"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Medical Radiation</w:t>
            </w:r>
            <w:r w:rsidR="003C6916">
              <w:rPr>
                <w:rFonts w:cs="Arial"/>
                <w:b/>
                <w:bCs/>
                <w:i/>
                <w:iCs/>
                <w:color w:val="000000"/>
                <w:sz w:val="18"/>
                <w:szCs w:val="18"/>
                <w:lang w:eastAsia="en-AU"/>
              </w:rPr>
              <w:t xml:space="preserve"> </w:t>
            </w:r>
          </w:p>
        </w:tc>
        <w:tc>
          <w:tcPr>
            <w:tcW w:w="1171"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n/a</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n/a</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1.80%</w:t>
            </w:r>
          </w:p>
        </w:tc>
        <w:tc>
          <w:tcPr>
            <w:tcW w:w="1275"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1.25%</w:t>
            </w:r>
          </w:p>
        </w:tc>
        <w:tc>
          <w:tcPr>
            <w:tcW w:w="993"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1.19%</w:t>
            </w:r>
          </w:p>
        </w:tc>
        <w:tc>
          <w:tcPr>
            <w:tcW w:w="992"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1.31%</w:t>
            </w:r>
          </w:p>
        </w:tc>
      </w:tr>
      <w:tr w:rsidR="009C29C2" w:rsidRPr="00993D07" w:rsidTr="009C29C2">
        <w:trPr>
          <w:trHeight w:val="315"/>
        </w:trPr>
        <w:tc>
          <w:tcPr>
            <w:tcW w:w="2672"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Nursing and Midwifery</w:t>
            </w:r>
          </w:p>
        </w:tc>
        <w:tc>
          <w:tcPr>
            <w:tcW w:w="1171"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37.00%</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37.00%</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35.25%</w:t>
            </w:r>
          </w:p>
        </w:tc>
        <w:tc>
          <w:tcPr>
            <w:tcW w:w="1275"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34.88%</w:t>
            </w:r>
          </w:p>
        </w:tc>
        <w:tc>
          <w:tcPr>
            <w:tcW w:w="993"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33.13%</w:t>
            </w:r>
          </w:p>
        </w:tc>
        <w:tc>
          <w:tcPr>
            <w:tcW w:w="992"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36.63%</w:t>
            </w:r>
          </w:p>
        </w:tc>
      </w:tr>
      <w:tr w:rsidR="009C29C2" w:rsidRPr="00993D07" w:rsidTr="009C29C2">
        <w:trPr>
          <w:trHeight w:val="315"/>
        </w:trPr>
        <w:tc>
          <w:tcPr>
            <w:tcW w:w="2672"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Occupational Therapy</w:t>
            </w:r>
          </w:p>
        </w:tc>
        <w:tc>
          <w:tcPr>
            <w:tcW w:w="1171"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n/a</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n/a</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1.75%</w:t>
            </w:r>
          </w:p>
        </w:tc>
        <w:tc>
          <w:tcPr>
            <w:tcW w:w="1275"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2.06%</w:t>
            </w:r>
          </w:p>
        </w:tc>
        <w:tc>
          <w:tcPr>
            <w:tcW w:w="993"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1.96%</w:t>
            </w:r>
          </w:p>
        </w:tc>
        <w:tc>
          <w:tcPr>
            <w:tcW w:w="992"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2.16%</w:t>
            </w:r>
          </w:p>
        </w:tc>
      </w:tr>
      <w:tr w:rsidR="009C29C2" w:rsidRPr="00993D07" w:rsidTr="009C29C2">
        <w:trPr>
          <w:trHeight w:val="315"/>
        </w:trPr>
        <w:tc>
          <w:tcPr>
            <w:tcW w:w="2672"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Optometry</w:t>
            </w:r>
          </w:p>
        </w:tc>
        <w:tc>
          <w:tcPr>
            <w:tcW w:w="1171"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0.84%</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0.84%</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0.80%</w:t>
            </w:r>
          </w:p>
        </w:tc>
        <w:tc>
          <w:tcPr>
            <w:tcW w:w="1275"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0.68%</w:t>
            </w:r>
          </w:p>
        </w:tc>
        <w:tc>
          <w:tcPr>
            <w:tcW w:w="993"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0.64%</w:t>
            </w:r>
          </w:p>
        </w:tc>
        <w:tc>
          <w:tcPr>
            <w:tcW w:w="992"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0.72%</w:t>
            </w:r>
          </w:p>
        </w:tc>
      </w:tr>
      <w:tr w:rsidR="009C29C2" w:rsidRPr="00993D07" w:rsidTr="009C29C2">
        <w:trPr>
          <w:trHeight w:val="315"/>
        </w:trPr>
        <w:tc>
          <w:tcPr>
            <w:tcW w:w="2672"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Osteopathy</w:t>
            </w:r>
          </w:p>
        </w:tc>
        <w:tc>
          <w:tcPr>
            <w:tcW w:w="1171"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0.24%</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0.24%</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0.23%</w:t>
            </w:r>
          </w:p>
        </w:tc>
        <w:tc>
          <w:tcPr>
            <w:tcW w:w="1275"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0.40%</w:t>
            </w:r>
          </w:p>
        </w:tc>
        <w:tc>
          <w:tcPr>
            <w:tcW w:w="993"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0.38%</w:t>
            </w:r>
          </w:p>
        </w:tc>
        <w:tc>
          <w:tcPr>
            <w:tcW w:w="992"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0.42%</w:t>
            </w:r>
          </w:p>
        </w:tc>
      </w:tr>
      <w:tr w:rsidR="009C29C2" w:rsidRPr="00993D07" w:rsidTr="009C29C2">
        <w:trPr>
          <w:trHeight w:val="315"/>
        </w:trPr>
        <w:tc>
          <w:tcPr>
            <w:tcW w:w="2672"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Pharmacy</w:t>
            </w:r>
          </w:p>
        </w:tc>
        <w:tc>
          <w:tcPr>
            <w:tcW w:w="1171"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4.98%</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4.98%</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4.74%</w:t>
            </w:r>
          </w:p>
        </w:tc>
        <w:tc>
          <w:tcPr>
            <w:tcW w:w="1275"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5.43%</w:t>
            </w:r>
          </w:p>
        </w:tc>
        <w:tc>
          <w:tcPr>
            <w:tcW w:w="993"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5.16%</w:t>
            </w:r>
          </w:p>
        </w:tc>
        <w:tc>
          <w:tcPr>
            <w:tcW w:w="992"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5.70%</w:t>
            </w:r>
          </w:p>
        </w:tc>
      </w:tr>
      <w:tr w:rsidR="009C29C2" w:rsidRPr="00993D07" w:rsidTr="009C29C2">
        <w:trPr>
          <w:trHeight w:val="315"/>
        </w:trPr>
        <w:tc>
          <w:tcPr>
            <w:tcW w:w="2672"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Physiotherapy</w:t>
            </w:r>
          </w:p>
        </w:tc>
        <w:tc>
          <w:tcPr>
            <w:tcW w:w="1171"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2.66%</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2.66%</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2.53%</w:t>
            </w:r>
          </w:p>
        </w:tc>
        <w:tc>
          <w:tcPr>
            <w:tcW w:w="1275"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2.43%</w:t>
            </w:r>
          </w:p>
        </w:tc>
        <w:tc>
          <w:tcPr>
            <w:tcW w:w="993"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2.30%</w:t>
            </w:r>
          </w:p>
        </w:tc>
        <w:tc>
          <w:tcPr>
            <w:tcW w:w="992"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2.56%</w:t>
            </w:r>
          </w:p>
        </w:tc>
      </w:tr>
      <w:tr w:rsidR="009C29C2" w:rsidRPr="00993D07" w:rsidTr="009C29C2">
        <w:trPr>
          <w:trHeight w:val="315"/>
        </w:trPr>
        <w:tc>
          <w:tcPr>
            <w:tcW w:w="2672"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Podiatry</w:t>
            </w:r>
          </w:p>
        </w:tc>
        <w:tc>
          <w:tcPr>
            <w:tcW w:w="1171"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0.48%</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0.48%</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0.45%</w:t>
            </w:r>
          </w:p>
        </w:tc>
        <w:tc>
          <w:tcPr>
            <w:tcW w:w="1275"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0.64%</w:t>
            </w:r>
          </w:p>
        </w:tc>
        <w:tc>
          <w:tcPr>
            <w:tcW w:w="993"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0.61%</w:t>
            </w:r>
          </w:p>
        </w:tc>
        <w:tc>
          <w:tcPr>
            <w:tcW w:w="992"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0.67%</w:t>
            </w:r>
          </w:p>
        </w:tc>
      </w:tr>
      <w:tr w:rsidR="009C29C2" w:rsidRPr="00993D07" w:rsidTr="009C29C2">
        <w:trPr>
          <w:trHeight w:val="315"/>
        </w:trPr>
        <w:tc>
          <w:tcPr>
            <w:tcW w:w="2672"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Psychology</w:t>
            </w:r>
          </w:p>
        </w:tc>
        <w:tc>
          <w:tcPr>
            <w:tcW w:w="1171"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7.57%</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7.57%</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7.21%</w:t>
            </w:r>
          </w:p>
        </w:tc>
        <w:tc>
          <w:tcPr>
            <w:tcW w:w="1275"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7.74%</w:t>
            </w:r>
          </w:p>
        </w:tc>
        <w:tc>
          <w:tcPr>
            <w:tcW w:w="993"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7.35%</w:t>
            </w:r>
          </w:p>
        </w:tc>
        <w:tc>
          <w:tcPr>
            <w:tcW w:w="992"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8.13%</w:t>
            </w:r>
          </w:p>
        </w:tc>
      </w:tr>
      <w:tr w:rsidR="009C29C2" w:rsidRPr="00993D07" w:rsidTr="009C29C2">
        <w:trPr>
          <w:trHeight w:val="315"/>
        </w:trPr>
        <w:tc>
          <w:tcPr>
            <w:tcW w:w="2672"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Total</w:t>
            </w:r>
          </w:p>
        </w:tc>
        <w:tc>
          <w:tcPr>
            <w:tcW w:w="1171"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100.00%</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100.00%</w:t>
            </w:r>
          </w:p>
        </w:tc>
        <w:tc>
          <w:tcPr>
            <w:tcW w:w="1134"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6"/>
                <w:szCs w:val="16"/>
                <w:lang w:eastAsia="en-AU"/>
              </w:rPr>
            </w:pPr>
            <w:r w:rsidRPr="00993D07">
              <w:rPr>
                <w:rFonts w:cs="Arial"/>
                <w:b/>
                <w:bCs/>
                <w:color w:val="000000"/>
                <w:sz w:val="16"/>
                <w:szCs w:val="16"/>
                <w:lang w:eastAsia="en-AU"/>
              </w:rPr>
              <w:t>100.00%</w:t>
            </w:r>
          </w:p>
        </w:tc>
        <w:tc>
          <w:tcPr>
            <w:tcW w:w="1275"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100.00%</w:t>
            </w:r>
          </w:p>
        </w:tc>
        <w:tc>
          <w:tcPr>
            <w:tcW w:w="993"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95.00%</w:t>
            </w:r>
          </w:p>
        </w:tc>
        <w:tc>
          <w:tcPr>
            <w:tcW w:w="992" w:type="dxa"/>
            <w:tcBorders>
              <w:top w:val="nil"/>
              <w:left w:val="nil"/>
              <w:bottom w:val="single" w:sz="8" w:space="0" w:color="009ADF"/>
              <w:right w:val="single" w:sz="8" w:space="0" w:color="009ADF"/>
            </w:tcBorders>
            <w:shd w:val="clear" w:color="000000" w:fill="BFBFBF"/>
            <w:vAlign w:val="bottom"/>
            <w:hideMark/>
          </w:tcPr>
          <w:p w:rsidR="00AF2122" w:rsidRPr="00993D07" w:rsidRDefault="00AF2122" w:rsidP="00AF2122">
            <w:pPr>
              <w:spacing w:line="240" w:lineRule="auto"/>
              <w:jc w:val="center"/>
              <w:rPr>
                <w:rFonts w:cs="Arial"/>
                <w:b/>
                <w:bCs/>
                <w:i/>
                <w:iCs/>
                <w:color w:val="7030A0"/>
                <w:sz w:val="18"/>
                <w:szCs w:val="18"/>
                <w:lang w:eastAsia="en-AU"/>
              </w:rPr>
            </w:pPr>
            <w:r w:rsidRPr="00993D07">
              <w:rPr>
                <w:rFonts w:cs="Arial"/>
                <w:b/>
                <w:bCs/>
                <w:i/>
                <w:iCs/>
                <w:color w:val="7030A0"/>
                <w:sz w:val="18"/>
                <w:szCs w:val="18"/>
                <w:lang w:eastAsia="en-AU"/>
              </w:rPr>
              <w:t>105.00%</w:t>
            </w:r>
          </w:p>
        </w:tc>
      </w:tr>
    </w:tbl>
    <w:p w:rsidR="00B7338C" w:rsidRPr="00993D07" w:rsidRDefault="00B7338C" w:rsidP="00B7338C">
      <w:pPr>
        <w:pStyle w:val="DefaultText"/>
        <w:spacing w:line="260" w:lineRule="atLeast"/>
        <w:rPr>
          <w:rFonts w:cs="Arial"/>
          <w:sz w:val="22"/>
        </w:rPr>
      </w:pPr>
    </w:p>
    <w:p w:rsidR="00B7338C" w:rsidRPr="00993D07" w:rsidRDefault="00B7338C" w:rsidP="00B7338C">
      <w:pPr>
        <w:pStyle w:val="DefaultText"/>
        <w:spacing w:line="260" w:lineRule="atLeast"/>
        <w:rPr>
          <w:rFonts w:cs="Arial"/>
          <w:b/>
          <w:i/>
          <w:sz w:val="16"/>
          <w:szCs w:val="16"/>
        </w:rPr>
      </w:pPr>
      <w:r w:rsidRPr="00993D07">
        <w:rPr>
          <w:rFonts w:cs="Arial"/>
          <w:b/>
          <w:i/>
          <w:sz w:val="16"/>
          <w:szCs w:val="16"/>
        </w:rPr>
        <w:t>* Most cost allocation methodologies are based on a number of assumptions and it is usual for a range +/- 5% of the derived percentage to be considered.  This methodology contains a number of assumptions so management may wish to consider such a range deviation before a final allocation percentage is discussed with the Boards.</w:t>
      </w:r>
    </w:p>
    <w:p w:rsidR="00947E83" w:rsidRPr="00993D07" w:rsidRDefault="00947E83" w:rsidP="00B7338C">
      <w:pPr>
        <w:pStyle w:val="DefaultText"/>
        <w:spacing w:line="260" w:lineRule="atLeast"/>
        <w:rPr>
          <w:rFonts w:cs="Arial"/>
          <w:b/>
          <w:i/>
          <w:sz w:val="16"/>
          <w:szCs w:val="16"/>
        </w:rPr>
      </w:pPr>
      <w:r w:rsidRPr="00993D07">
        <w:rPr>
          <w:rFonts w:cs="Arial"/>
          <w:b/>
          <w:i/>
          <w:sz w:val="16"/>
          <w:szCs w:val="16"/>
        </w:rPr>
        <w:t>See our data testing conc</w:t>
      </w:r>
      <w:r w:rsidR="009C29C2" w:rsidRPr="00993D07">
        <w:rPr>
          <w:rFonts w:cs="Arial"/>
          <w:b/>
          <w:i/>
          <w:sz w:val="16"/>
          <w:szCs w:val="16"/>
        </w:rPr>
        <w:t>l</w:t>
      </w:r>
      <w:r w:rsidRPr="00993D07">
        <w:rPr>
          <w:rFonts w:cs="Arial"/>
          <w:b/>
          <w:i/>
          <w:sz w:val="16"/>
          <w:szCs w:val="16"/>
        </w:rPr>
        <w:t xml:space="preserve">usions in Appendix </w:t>
      </w:r>
      <w:r w:rsidR="00DB6B30">
        <w:rPr>
          <w:rFonts w:cs="Arial"/>
          <w:b/>
          <w:i/>
          <w:sz w:val="16"/>
          <w:szCs w:val="16"/>
        </w:rPr>
        <w:t>3</w:t>
      </w:r>
      <w:r w:rsidRPr="00993D07">
        <w:rPr>
          <w:rFonts w:cs="Arial"/>
          <w:b/>
          <w:i/>
          <w:sz w:val="16"/>
          <w:szCs w:val="16"/>
        </w:rPr>
        <w:t xml:space="preserve">. </w:t>
      </w:r>
    </w:p>
    <w:p w:rsidR="00B7338C" w:rsidRPr="00993D07" w:rsidRDefault="00B7338C" w:rsidP="00B7338C">
      <w:pPr>
        <w:pStyle w:val="DefaultText"/>
        <w:spacing w:line="260" w:lineRule="atLeast"/>
        <w:rPr>
          <w:rFonts w:cs="Arial"/>
          <w:sz w:val="22"/>
        </w:rPr>
      </w:pPr>
    </w:p>
    <w:p w:rsidR="009C29C2" w:rsidRPr="00993D07" w:rsidRDefault="00B7338C" w:rsidP="00B7338C">
      <w:pPr>
        <w:pStyle w:val="DefaultText"/>
        <w:spacing w:line="260" w:lineRule="atLeast"/>
        <w:rPr>
          <w:rFonts w:cs="Arial"/>
          <w:sz w:val="20"/>
        </w:rPr>
      </w:pPr>
      <w:r w:rsidRPr="00993D07">
        <w:rPr>
          <w:rFonts w:cs="Arial"/>
          <w:sz w:val="20"/>
        </w:rPr>
        <w:t xml:space="preserve">The </w:t>
      </w:r>
      <w:r w:rsidR="00B008D2">
        <w:rPr>
          <w:rFonts w:cs="Arial"/>
          <w:sz w:val="20"/>
        </w:rPr>
        <w:t xml:space="preserve">column </w:t>
      </w:r>
      <w:r w:rsidR="00B008D2" w:rsidRPr="00671F72">
        <w:rPr>
          <w:rFonts w:cs="Arial"/>
          <w:i/>
          <w:sz w:val="20"/>
        </w:rPr>
        <w:t>‘Proposed 2013/2014 Allocation</w:t>
      </w:r>
      <w:r w:rsidR="00671F72" w:rsidRPr="00671F72">
        <w:rPr>
          <w:rFonts w:cs="Arial"/>
          <w:i/>
          <w:sz w:val="20"/>
        </w:rPr>
        <w:t>’</w:t>
      </w:r>
      <w:r w:rsidR="00B008D2">
        <w:rPr>
          <w:rFonts w:cs="Arial"/>
          <w:sz w:val="20"/>
        </w:rPr>
        <w:t xml:space="preserve"> has been derived from timesheet survey results plus a number of defined adjustments (see Appendix 2 for details).  The allocation is not an exact direct cost mechanism.  Therefore </w:t>
      </w:r>
      <w:r w:rsidRPr="00993D07">
        <w:rPr>
          <w:rFonts w:cs="Arial"/>
          <w:sz w:val="20"/>
        </w:rPr>
        <w:t xml:space="preserve">a </w:t>
      </w:r>
      <w:r w:rsidR="00630A93">
        <w:rPr>
          <w:rFonts w:cs="Arial"/>
          <w:sz w:val="20"/>
        </w:rPr>
        <w:t xml:space="preserve">small </w:t>
      </w:r>
      <w:r w:rsidRPr="00993D07">
        <w:rPr>
          <w:rFonts w:cs="Arial"/>
          <w:sz w:val="20"/>
        </w:rPr>
        <w:t xml:space="preserve">level of </w:t>
      </w:r>
      <w:r w:rsidR="00630A93">
        <w:rPr>
          <w:rFonts w:cs="Arial"/>
          <w:sz w:val="20"/>
        </w:rPr>
        <w:t xml:space="preserve">inaccuarcy or variability </w:t>
      </w:r>
      <w:r w:rsidRPr="00993D07">
        <w:rPr>
          <w:rFonts w:cs="Arial"/>
          <w:sz w:val="20"/>
        </w:rPr>
        <w:t>is expected.</w:t>
      </w:r>
      <w:r w:rsidR="00630A93">
        <w:rPr>
          <w:rFonts w:cs="Arial"/>
          <w:sz w:val="20"/>
        </w:rPr>
        <w:t xml:space="preserve">  This variability means that management can reasonably adjust the allocation within the 5% variability range and not impact the findings of the survey.</w:t>
      </w:r>
      <w:r w:rsidRPr="00993D07">
        <w:rPr>
          <w:rFonts w:cs="Arial"/>
          <w:sz w:val="20"/>
        </w:rPr>
        <w:t xml:space="preserve">  </w:t>
      </w:r>
    </w:p>
    <w:p w:rsidR="009C29C2" w:rsidRPr="00993D07" w:rsidRDefault="009C29C2" w:rsidP="00B7338C">
      <w:pPr>
        <w:pStyle w:val="DefaultText"/>
        <w:spacing w:line="260" w:lineRule="atLeast"/>
        <w:rPr>
          <w:rFonts w:cs="Arial"/>
          <w:sz w:val="20"/>
        </w:rPr>
      </w:pPr>
    </w:p>
    <w:p w:rsidR="00A308D6" w:rsidRDefault="00630A93" w:rsidP="00B7338C">
      <w:pPr>
        <w:pStyle w:val="DefaultText"/>
        <w:spacing w:line="260" w:lineRule="atLeast"/>
        <w:rPr>
          <w:rFonts w:cs="Arial"/>
          <w:sz w:val="20"/>
        </w:rPr>
      </w:pPr>
      <w:r>
        <w:rPr>
          <w:rFonts w:cs="Arial"/>
          <w:sz w:val="20"/>
        </w:rPr>
        <w:t>We do reiterate that</w:t>
      </w:r>
      <w:r w:rsidR="00C02B31" w:rsidRPr="00993D07">
        <w:rPr>
          <w:rFonts w:cs="Arial"/>
          <w:sz w:val="20"/>
        </w:rPr>
        <w:t xml:space="preserve"> the survey sample size (</w:t>
      </w:r>
      <w:r w:rsidR="00064535" w:rsidRPr="00993D07">
        <w:rPr>
          <w:rFonts w:cs="Arial"/>
          <w:sz w:val="20"/>
        </w:rPr>
        <w:t>335</w:t>
      </w:r>
      <w:r w:rsidR="002C0206" w:rsidRPr="00993D07">
        <w:rPr>
          <w:rFonts w:cs="Arial"/>
          <w:sz w:val="20"/>
        </w:rPr>
        <w:t xml:space="preserve"> staff</w:t>
      </w:r>
      <w:r w:rsidR="00C02B31" w:rsidRPr="00993D07">
        <w:rPr>
          <w:rFonts w:cs="Arial"/>
          <w:sz w:val="20"/>
        </w:rPr>
        <w:t xml:space="preserve">) is </w:t>
      </w:r>
      <w:r>
        <w:rPr>
          <w:rFonts w:cs="Arial"/>
          <w:sz w:val="20"/>
        </w:rPr>
        <w:t>very large.  It is of</w:t>
      </w:r>
      <w:r w:rsidR="00C02B31" w:rsidRPr="00993D07">
        <w:rPr>
          <w:rFonts w:cs="Arial"/>
          <w:sz w:val="20"/>
        </w:rPr>
        <w:t xml:space="preserve"> a significant enough size (</w:t>
      </w:r>
      <w:r w:rsidR="003A345A" w:rsidRPr="00993D07">
        <w:rPr>
          <w:rFonts w:cs="Arial"/>
          <w:sz w:val="20"/>
        </w:rPr>
        <w:t>47%</w:t>
      </w:r>
      <w:r w:rsidR="00C02B31" w:rsidRPr="00993D07">
        <w:rPr>
          <w:rFonts w:cs="Arial"/>
          <w:sz w:val="20"/>
        </w:rPr>
        <w:t xml:space="preserve"> of the </w:t>
      </w:r>
      <w:r w:rsidR="0022543C">
        <w:rPr>
          <w:rFonts w:cs="Arial"/>
          <w:sz w:val="20"/>
        </w:rPr>
        <w:t>AHPRA’s</w:t>
      </w:r>
      <w:r w:rsidR="00C02B31" w:rsidRPr="00993D07">
        <w:rPr>
          <w:rFonts w:cs="Arial"/>
          <w:sz w:val="20"/>
        </w:rPr>
        <w:t xml:space="preserve"> full and part time </w:t>
      </w:r>
      <w:r>
        <w:rPr>
          <w:rFonts w:cs="Arial"/>
          <w:sz w:val="20"/>
        </w:rPr>
        <w:t>staff</w:t>
      </w:r>
      <w:r w:rsidR="00C02B31" w:rsidRPr="00993D07">
        <w:rPr>
          <w:rFonts w:cs="Arial"/>
          <w:sz w:val="20"/>
        </w:rPr>
        <w:t xml:space="preserve">) to ensure that the results obtained provide a reasonable estimate of the hours incurred in the </w:t>
      </w:r>
      <w:r w:rsidR="006A608C">
        <w:rPr>
          <w:rFonts w:cs="Arial"/>
          <w:sz w:val="20"/>
        </w:rPr>
        <w:t>AHPRA’s</w:t>
      </w:r>
      <w:r>
        <w:rPr>
          <w:rFonts w:cs="Arial"/>
          <w:sz w:val="20"/>
        </w:rPr>
        <w:t xml:space="preserve"> </w:t>
      </w:r>
      <w:r w:rsidR="00C02B31" w:rsidRPr="00993D07">
        <w:rPr>
          <w:rFonts w:cs="Arial"/>
          <w:sz w:val="20"/>
        </w:rPr>
        <w:t xml:space="preserve">activities of Notification, Registration, </w:t>
      </w:r>
      <w:r w:rsidR="006A608C">
        <w:rPr>
          <w:rFonts w:cs="Arial"/>
          <w:sz w:val="20"/>
        </w:rPr>
        <w:t xml:space="preserve">Compliance, </w:t>
      </w:r>
      <w:r w:rsidR="00C02B31" w:rsidRPr="00993D07">
        <w:rPr>
          <w:rFonts w:cs="Arial"/>
          <w:sz w:val="20"/>
        </w:rPr>
        <w:t xml:space="preserve">Legal and Board Services.  </w:t>
      </w:r>
      <w:r w:rsidR="009C29C2" w:rsidRPr="00993D07">
        <w:rPr>
          <w:rFonts w:cs="Arial"/>
          <w:sz w:val="20"/>
        </w:rPr>
        <w:t>Because of the size of the sample, despite some anom</w:t>
      </w:r>
      <w:r w:rsidR="006A608C">
        <w:rPr>
          <w:rFonts w:cs="Arial"/>
          <w:sz w:val="20"/>
        </w:rPr>
        <w:t>a</w:t>
      </w:r>
      <w:r w:rsidR="009C29C2" w:rsidRPr="00993D07">
        <w:rPr>
          <w:rFonts w:cs="Arial"/>
          <w:sz w:val="20"/>
        </w:rPr>
        <w:t xml:space="preserve">lies in the data as highlighted in Appendix </w:t>
      </w:r>
      <w:r>
        <w:rPr>
          <w:rFonts w:cs="Arial"/>
          <w:sz w:val="20"/>
        </w:rPr>
        <w:t>3</w:t>
      </w:r>
      <w:r w:rsidR="009C29C2" w:rsidRPr="00993D07">
        <w:rPr>
          <w:rFonts w:cs="Arial"/>
          <w:sz w:val="20"/>
        </w:rPr>
        <w:t>, t</w:t>
      </w:r>
      <w:r w:rsidR="00C02B31" w:rsidRPr="00993D07">
        <w:rPr>
          <w:rFonts w:cs="Arial"/>
          <w:sz w:val="20"/>
        </w:rPr>
        <w:t xml:space="preserve">he results provide a </w:t>
      </w:r>
      <w:r w:rsidR="009C29C2" w:rsidRPr="00993D07">
        <w:rPr>
          <w:rFonts w:cs="Arial"/>
          <w:sz w:val="20"/>
        </w:rPr>
        <w:t>strong</w:t>
      </w:r>
      <w:r w:rsidR="00C02B31" w:rsidRPr="00993D07">
        <w:rPr>
          <w:rFonts w:cs="Arial"/>
          <w:sz w:val="20"/>
        </w:rPr>
        <w:t xml:space="preserve"> </w:t>
      </w:r>
      <w:r w:rsidR="0022543C">
        <w:rPr>
          <w:rFonts w:cs="Arial"/>
          <w:sz w:val="20"/>
        </w:rPr>
        <w:t>foundation</w:t>
      </w:r>
      <w:r w:rsidR="0022543C" w:rsidRPr="00993D07">
        <w:rPr>
          <w:rFonts w:cs="Arial"/>
          <w:sz w:val="20"/>
        </w:rPr>
        <w:t xml:space="preserve"> </w:t>
      </w:r>
      <w:r w:rsidR="00C02B31" w:rsidRPr="00993D07">
        <w:rPr>
          <w:rFonts w:cs="Arial"/>
          <w:sz w:val="20"/>
        </w:rPr>
        <w:t>on which to continue the journey towards a mat</w:t>
      </w:r>
      <w:r w:rsidR="003A345A" w:rsidRPr="00993D07">
        <w:rPr>
          <w:rFonts w:cs="Arial"/>
          <w:sz w:val="20"/>
        </w:rPr>
        <w:t>ure cost allocation methodology</w:t>
      </w:r>
      <w:r w:rsidR="00A308D6" w:rsidRPr="00993D07">
        <w:rPr>
          <w:rFonts w:cs="Arial"/>
          <w:sz w:val="20"/>
        </w:rPr>
        <w:t>.</w:t>
      </w:r>
      <w:r>
        <w:rPr>
          <w:rFonts w:cs="Arial"/>
          <w:sz w:val="20"/>
        </w:rPr>
        <w:t xml:space="preserve">  </w:t>
      </w:r>
    </w:p>
    <w:p w:rsidR="00630A93" w:rsidRPr="00993D07" w:rsidRDefault="00630A93" w:rsidP="00B7338C">
      <w:pPr>
        <w:pStyle w:val="DefaultText"/>
        <w:spacing w:line="260" w:lineRule="atLeast"/>
        <w:rPr>
          <w:rFonts w:cs="Arial"/>
          <w:sz w:val="20"/>
        </w:rPr>
      </w:pPr>
    </w:p>
    <w:p w:rsidR="00C02B31" w:rsidRPr="00993D07" w:rsidRDefault="009C29C2" w:rsidP="00B7338C">
      <w:pPr>
        <w:pStyle w:val="DefaultText"/>
        <w:spacing w:line="260" w:lineRule="atLeast"/>
        <w:rPr>
          <w:rFonts w:cs="Arial"/>
          <w:sz w:val="20"/>
        </w:rPr>
      </w:pPr>
      <w:r w:rsidRPr="00993D07">
        <w:rPr>
          <w:rFonts w:cs="Arial"/>
          <w:sz w:val="20"/>
        </w:rPr>
        <w:t xml:space="preserve">Because </w:t>
      </w:r>
      <w:r w:rsidR="00A863FD">
        <w:rPr>
          <w:rFonts w:cs="Arial"/>
          <w:sz w:val="20"/>
        </w:rPr>
        <w:t xml:space="preserve">staff </w:t>
      </w:r>
      <w:r w:rsidR="00416505">
        <w:rPr>
          <w:rFonts w:cs="Arial"/>
          <w:sz w:val="20"/>
        </w:rPr>
        <w:t>identifed primarily</w:t>
      </w:r>
      <w:r w:rsidR="00A863FD">
        <w:rPr>
          <w:rFonts w:cs="Arial"/>
          <w:sz w:val="20"/>
        </w:rPr>
        <w:t xml:space="preserve"> to a specific </w:t>
      </w:r>
      <w:r w:rsidR="00A863FD" w:rsidRPr="00A863FD">
        <w:rPr>
          <w:rFonts w:cs="Arial"/>
          <w:sz w:val="20"/>
        </w:rPr>
        <w:t>board</w:t>
      </w:r>
      <w:r w:rsidR="005F741A">
        <w:rPr>
          <w:rFonts w:cs="Arial"/>
          <w:sz w:val="20"/>
        </w:rPr>
        <w:t xml:space="preserve"> attributable</w:t>
      </w:r>
      <w:r w:rsidRPr="00993D07">
        <w:rPr>
          <w:rFonts w:cs="Arial"/>
          <w:sz w:val="20"/>
        </w:rPr>
        <w:t xml:space="preserve"> to 80 staff have been overl</w:t>
      </w:r>
      <w:r w:rsidR="00750040" w:rsidRPr="00993D07">
        <w:rPr>
          <w:rFonts w:cs="Arial"/>
          <w:sz w:val="20"/>
        </w:rPr>
        <w:t>a</w:t>
      </w:r>
      <w:r w:rsidRPr="00993D07">
        <w:rPr>
          <w:rFonts w:cs="Arial"/>
          <w:sz w:val="20"/>
        </w:rPr>
        <w:t>yed into the model, the level of accuracy in the costs allocation has been further enhanced.</w:t>
      </w:r>
    </w:p>
    <w:p w:rsidR="00C02B31" w:rsidRPr="00993D07" w:rsidRDefault="00C02B31" w:rsidP="00B7338C">
      <w:pPr>
        <w:pStyle w:val="DefaultText"/>
        <w:spacing w:line="260" w:lineRule="atLeast"/>
        <w:rPr>
          <w:rFonts w:cs="Arial"/>
          <w:sz w:val="20"/>
        </w:rPr>
      </w:pPr>
    </w:p>
    <w:p w:rsidR="003A345A" w:rsidRDefault="009C29C2" w:rsidP="00B7338C">
      <w:pPr>
        <w:pStyle w:val="DefaultText"/>
        <w:spacing w:line="260" w:lineRule="atLeast"/>
        <w:rPr>
          <w:rFonts w:cs="Arial"/>
          <w:sz w:val="20"/>
        </w:rPr>
      </w:pPr>
      <w:r w:rsidRPr="00993D07">
        <w:rPr>
          <w:rFonts w:cs="Arial"/>
          <w:sz w:val="20"/>
        </w:rPr>
        <w:t xml:space="preserve">This means that the level of data accumulated and anaylsed </w:t>
      </w:r>
      <w:r w:rsidR="003A345A" w:rsidRPr="00993D07">
        <w:rPr>
          <w:rFonts w:cs="Arial"/>
          <w:sz w:val="20"/>
        </w:rPr>
        <w:t>is</w:t>
      </w:r>
      <w:r w:rsidRPr="00993D07">
        <w:rPr>
          <w:rFonts w:cs="Arial"/>
          <w:sz w:val="20"/>
        </w:rPr>
        <w:t xml:space="preserve"> beyond what would normally be referred to as a ‘sample’</w:t>
      </w:r>
      <w:r w:rsidR="003A345A" w:rsidRPr="00993D07">
        <w:rPr>
          <w:rFonts w:cs="Arial"/>
          <w:sz w:val="20"/>
        </w:rPr>
        <w:t>.  58% of staff have been assessed as a part of this exercise.  The remaining 42% are not aligned to a specific function or Board and therefore it is reasonable to apply a final cost percentage allocation to these staff.</w:t>
      </w:r>
    </w:p>
    <w:p w:rsidR="00630A93" w:rsidRDefault="00630A93" w:rsidP="00B7338C">
      <w:pPr>
        <w:pStyle w:val="DefaultText"/>
        <w:spacing w:line="260" w:lineRule="atLeast"/>
        <w:rPr>
          <w:rFonts w:cs="Arial"/>
          <w:sz w:val="20"/>
        </w:rPr>
      </w:pPr>
    </w:p>
    <w:p w:rsidR="00630A93" w:rsidRPr="00993D07" w:rsidRDefault="00630A93" w:rsidP="00630A93">
      <w:pPr>
        <w:pStyle w:val="DefaultText"/>
        <w:spacing w:line="260" w:lineRule="atLeast"/>
        <w:rPr>
          <w:rFonts w:cs="Arial"/>
          <w:sz w:val="20"/>
        </w:rPr>
      </w:pPr>
      <w:r>
        <w:rPr>
          <w:rFonts w:cs="Arial"/>
          <w:sz w:val="20"/>
        </w:rPr>
        <w:t xml:space="preserve">The data </w:t>
      </w:r>
      <w:r w:rsidR="006A608C">
        <w:rPr>
          <w:rFonts w:cs="Arial"/>
          <w:sz w:val="20"/>
        </w:rPr>
        <w:t xml:space="preserve">are </w:t>
      </w:r>
      <w:r>
        <w:rPr>
          <w:rFonts w:cs="Arial"/>
          <w:sz w:val="20"/>
        </w:rPr>
        <w:t>of a robust enough nature that we encourage management to adopt the proposed allocation with confidence for 2013/14.</w:t>
      </w:r>
    </w:p>
    <w:p w:rsidR="00B008D2" w:rsidRPr="00993D07" w:rsidRDefault="00B008D2" w:rsidP="00B008D2">
      <w:pPr>
        <w:pStyle w:val="Heading2"/>
        <w:ind w:left="709"/>
        <w:jc w:val="both"/>
      </w:pPr>
      <w:bookmarkStart w:id="11" w:name="_Toc346891234"/>
      <w:r>
        <w:t>Recommendation</w:t>
      </w:r>
      <w:bookmarkEnd w:id="11"/>
    </w:p>
    <w:p w:rsidR="006A608C" w:rsidRDefault="006A608C" w:rsidP="00B7338C">
      <w:pPr>
        <w:pStyle w:val="DefaultText"/>
        <w:spacing w:line="260" w:lineRule="atLeast"/>
        <w:rPr>
          <w:rFonts w:cs="Arial"/>
          <w:sz w:val="20"/>
        </w:rPr>
      </w:pPr>
      <w:r>
        <w:rPr>
          <w:rFonts w:cs="Arial"/>
          <w:sz w:val="20"/>
        </w:rPr>
        <w:t>We recommend that management adopts the cost allocations recommended in the table on page 4, Proposed allocations for 2013-14.</w:t>
      </w:r>
    </w:p>
    <w:p w:rsidR="006A608C" w:rsidRDefault="006A608C" w:rsidP="00B7338C">
      <w:pPr>
        <w:pStyle w:val="DefaultText"/>
        <w:spacing w:line="260" w:lineRule="atLeast"/>
        <w:rPr>
          <w:rFonts w:cs="Arial"/>
          <w:sz w:val="20"/>
        </w:rPr>
      </w:pPr>
    </w:p>
    <w:p w:rsidR="00B008D2" w:rsidRDefault="00C02B31" w:rsidP="00B7338C">
      <w:pPr>
        <w:pStyle w:val="DefaultText"/>
        <w:spacing w:line="260" w:lineRule="atLeast"/>
        <w:rPr>
          <w:rFonts w:cs="Arial"/>
          <w:sz w:val="20"/>
        </w:rPr>
      </w:pPr>
      <w:r w:rsidRPr="00993D07">
        <w:rPr>
          <w:rFonts w:cs="Arial"/>
          <w:sz w:val="20"/>
        </w:rPr>
        <w:t xml:space="preserve">We </w:t>
      </w:r>
      <w:r w:rsidR="006A608C">
        <w:rPr>
          <w:rFonts w:cs="Arial"/>
          <w:sz w:val="20"/>
        </w:rPr>
        <w:t xml:space="preserve">also </w:t>
      </w:r>
      <w:r w:rsidRPr="00993D07">
        <w:rPr>
          <w:rFonts w:cs="Arial"/>
          <w:sz w:val="20"/>
        </w:rPr>
        <w:t>recommend, that i</w:t>
      </w:r>
      <w:r w:rsidR="00B7338C" w:rsidRPr="00993D07">
        <w:rPr>
          <w:rFonts w:cs="Arial"/>
          <w:sz w:val="20"/>
        </w:rPr>
        <w:t xml:space="preserve">n order to ensure that future cost allocations are fully transparant and accurate, a timesheet approach is adopted full time across all </w:t>
      </w:r>
      <w:r w:rsidR="00412004" w:rsidRPr="00993D07">
        <w:rPr>
          <w:rFonts w:cs="Arial"/>
          <w:sz w:val="20"/>
        </w:rPr>
        <w:t xml:space="preserve">AHPRA </w:t>
      </w:r>
      <w:r w:rsidR="00B7338C" w:rsidRPr="00993D07">
        <w:rPr>
          <w:rFonts w:cs="Arial"/>
          <w:sz w:val="20"/>
        </w:rPr>
        <w:t>offices</w:t>
      </w:r>
      <w:r w:rsidR="00B008D2">
        <w:rPr>
          <w:rFonts w:cs="Arial"/>
          <w:sz w:val="20"/>
        </w:rPr>
        <w:t xml:space="preserve">.  </w:t>
      </w:r>
    </w:p>
    <w:p w:rsidR="00B008D2" w:rsidRDefault="00B008D2" w:rsidP="00B7338C">
      <w:pPr>
        <w:pStyle w:val="DefaultText"/>
        <w:spacing w:line="260" w:lineRule="atLeast"/>
        <w:rPr>
          <w:rFonts w:cs="Arial"/>
          <w:sz w:val="20"/>
        </w:rPr>
      </w:pPr>
    </w:p>
    <w:p w:rsidR="00B008D2" w:rsidRPr="00993D07" w:rsidRDefault="00B008D2" w:rsidP="00B008D2">
      <w:pPr>
        <w:pStyle w:val="DefaultText"/>
        <w:spacing w:line="260" w:lineRule="atLeast"/>
        <w:rPr>
          <w:rFonts w:cs="Arial"/>
          <w:sz w:val="20"/>
        </w:rPr>
      </w:pPr>
      <w:r>
        <w:rPr>
          <w:rFonts w:cs="Arial"/>
          <w:sz w:val="20"/>
        </w:rPr>
        <w:t xml:space="preserve">An integrated timesheet portal, linking with existing payroll systems, would ensure that staff costs are allocated with the maximum level of accuracy at all times of the year.  </w:t>
      </w:r>
      <w:r w:rsidRPr="00993D07">
        <w:rPr>
          <w:rFonts w:cs="Arial"/>
          <w:sz w:val="20"/>
        </w:rPr>
        <w:t>A full time timesheet process will reduce the level of any anomalies in the calculation and provide a greater level of certainty to the Boards, and therefore greater confidence of the Boards.</w:t>
      </w:r>
    </w:p>
    <w:p w:rsidR="00B008D2" w:rsidRDefault="00B008D2" w:rsidP="00B7338C">
      <w:pPr>
        <w:pStyle w:val="DefaultText"/>
        <w:spacing w:line="260" w:lineRule="atLeast"/>
        <w:rPr>
          <w:rFonts w:cs="Arial"/>
          <w:sz w:val="20"/>
        </w:rPr>
      </w:pPr>
    </w:p>
    <w:p w:rsidR="00B008D2" w:rsidRDefault="00B008D2" w:rsidP="00B7338C">
      <w:pPr>
        <w:pStyle w:val="DefaultText"/>
        <w:spacing w:line="260" w:lineRule="atLeast"/>
        <w:rPr>
          <w:rFonts w:cs="Arial"/>
          <w:sz w:val="20"/>
        </w:rPr>
      </w:pPr>
      <w:r>
        <w:rPr>
          <w:rFonts w:cs="Arial"/>
          <w:sz w:val="20"/>
        </w:rPr>
        <w:t xml:space="preserve">Such a process takes time to </w:t>
      </w:r>
      <w:r w:rsidR="006A608C">
        <w:rPr>
          <w:rFonts w:cs="Arial"/>
          <w:sz w:val="20"/>
        </w:rPr>
        <w:t>e</w:t>
      </w:r>
      <w:r>
        <w:rPr>
          <w:rFonts w:cs="Arial"/>
          <w:sz w:val="20"/>
        </w:rPr>
        <w:t xml:space="preserve">mbed and needs to consider change management and communication tasks </w:t>
      </w:r>
      <w:r w:rsidR="003F4C1F">
        <w:rPr>
          <w:rFonts w:cs="Arial"/>
          <w:sz w:val="20"/>
        </w:rPr>
        <w:t>that</w:t>
      </w:r>
      <w:r>
        <w:rPr>
          <w:rFonts w:cs="Arial"/>
          <w:sz w:val="20"/>
        </w:rPr>
        <w:t xml:space="preserve"> would need to support such a process.</w:t>
      </w:r>
    </w:p>
    <w:p w:rsidR="00B008D2" w:rsidRDefault="00B008D2" w:rsidP="00B7338C">
      <w:pPr>
        <w:pStyle w:val="DefaultText"/>
        <w:spacing w:line="260" w:lineRule="atLeast"/>
        <w:rPr>
          <w:rFonts w:cs="Arial"/>
          <w:sz w:val="20"/>
        </w:rPr>
      </w:pPr>
    </w:p>
    <w:p w:rsidR="004F0239" w:rsidRPr="00993D07" w:rsidRDefault="00B008D2" w:rsidP="00B7338C">
      <w:pPr>
        <w:pStyle w:val="DefaultText"/>
        <w:spacing w:line="260" w:lineRule="atLeast"/>
        <w:rPr>
          <w:rFonts w:cs="Arial"/>
          <w:sz w:val="20"/>
        </w:rPr>
      </w:pPr>
      <w:r>
        <w:rPr>
          <w:rFonts w:cs="Arial"/>
          <w:sz w:val="20"/>
        </w:rPr>
        <w:t xml:space="preserve">Alternatively, </w:t>
      </w:r>
      <w:r w:rsidR="003A345A" w:rsidRPr="00993D07">
        <w:rPr>
          <w:rFonts w:cs="Arial"/>
          <w:sz w:val="20"/>
        </w:rPr>
        <w:t xml:space="preserve">as a minimum, regular timesheet studies </w:t>
      </w:r>
      <w:r>
        <w:rPr>
          <w:rFonts w:cs="Arial"/>
          <w:sz w:val="20"/>
        </w:rPr>
        <w:t>should be</w:t>
      </w:r>
      <w:r w:rsidR="003A345A" w:rsidRPr="00993D07">
        <w:rPr>
          <w:rFonts w:cs="Arial"/>
          <w:sz w:val="20"/>
        </w:rPr>
        <w:t xml:space="preserve"> conducted at other times of the year</w:t>
      </w:r>
      <w:r>
        <w:rPr>
          <w:rFonts w:cs="Arial"/>
          <w:sz w:val="20"/>
        </w:rPr>
        <w:t>; this will help management test the reasonableness of existing assumptions</w:t>
      </w:r>
      <w:r w:rsidR="00B7338C" w:rsidRPr="00993D07">
        <w:rPr>
          <w:rFonts w:cs="Arial"/>
          <w:sz w:val="20"/>
        </w:rPr>
        <w:t xml:space="preserve">.  </w:t>
      </w:r>
    </w:p>
    <w:p w:rsidR="008878D5" w:rsidRPr="00993D07" w:rsidRDefault="008878D5" w:rsidP="00F071A3">
      <w:pPr>
        <w:pStyle w:val="DefaultText"/>
        <w:spacing w:line="260" w:lineRule="atLeast"/>
        <w:rPr>
          <w:rFonts w:cs="Arial"/>
          <w:sz w:val="20"/>
        </w:rPr>
      </w:pPr>
    </w:p>
    <w:p w:rsidR="00853C0D" w:rsidRPr="00993D07" w:rsidRDefault="00112EB8" w:rsidP="00CC5F54">
      <w:pPr>
        <w:pStyle w:val="Heading1"/>
      </w:pPr>
      <w:bookmarkStart w:id="12" w:name="_Toc346891235"/>
      <w:r w:rsidRPr="00993D07">
        <w:t xml:space="preserve">AHPRA’s Cost Allocation </w:t>
      </w:r>
      <w:r w:rsidR="006E562C" w:rsidRPr="00993D07">
        <w:t>Road Map</w:t>
      </w:r>
      <w:bookmarkEnd w:id="12"/>
    </w:p>
    <w:p w:rsidR="00A7000F" w:rsidRPr="00993D07" w:rsidRDefault="00A7000F" w:rsidP="00CC5F54">
      <w:pPr>
        <w:pStyle w:val="Heading2"/>
      </w:pPr>
      <w:bookmarkStart w:id="13" w:name="_Toc346891236"/>
      <w:r w:rsidRPr="00993D07">
        <w:t xml:space="preserve">Cost </w:t>
      </w:r>
      <w:r w:rsidR="003F4C1F">
        <w:t>a</w:t>
      </w:r>
      <w:r w:rsidRPr="00993D07">
        <w:t xml:space="preserve">llocation </w:t>
      </w:r>
      <w:r w:rsidR="003F4C1F">
        <w:t>r</w:t>
      </w:r>
      <w:r w:rsidRPr="00993D07">
        <w:t>equirements</w:t>
      </w:r>
      <w:bookmarkEnd w:id="13"/>
    </w:p>
    <w:p w:rsidR="00A7000F" w:rsidRPr="00993D07" w:rsidRDefault="00412004" w:rsidP="00A7000F">
      <w:pPr>
        <w:pStyle w:val="DefaultText"/>
        <w:spacing w:line="260" w:lineRule="atLeast"/>
        <w:rPr>
          <w:rFonts w:cs="Arial"/>
          <w:sz w:val="20"/>
        </w:rPr>
      </w:pPr>
      <w:r w:rsidRPr="00993D07">
        <w:rPr>
          <w:rFonts w:cs="Arial"/>
          <w:sz w:val="20"/>
        </w:rPr>
        <w:t xml:space="preserve">Best </w:t>
      </w:r>
      <w:r w:rsidR="00592630" w:rsidRPr="00993D07">
        <w:rPr>
          <w:rFonts w:cs="Arial"/>
          <w:sz w:val="20"/>
        </w:rPr>
        <w:t>p</w:t>
      </w:r>
      <w:r w:rsidRPr="00993D07">
        <w:rPr>
          <w:rFonts w:cs="Arial"/>
          <w:sz w:val="20"/>
        </w:rPr>
        <w:t>ractice cost allocation methodology is based on the following fundamentals</w:t>
      </w:r>
      <w:r w:rsidR="006E562C" w:rsidRPr="00993D07">
        <w:rPr>
          <w:rFonts w:cs="Arial"/>
          <w:sz w:val="20"/>
        </w:rPr>
        <w:t>.</w:t>
      </w:r>
    </w:p>
    <w:p w:rsidR="006E562C" w:rsidRPr="00993D07" w:rsidRDefault="006E562C" w:rsidP="006E562C">
      <w:pPr>
        <w:pStyle w:val="DefaultText"/>
        <w:rPr>
          <w:rFonts w:cs="Arial"/>
          <w:sz w:val="20"/>
        </w:rPr>
      </w:pPr>
    </w:p>
    <w:p w:rsidR="006E562C" w:rsidRPr="00993D07" w:rsidRDefault="006E562C" w:rsidP="006E562C">
      <w:pPr>
        <w:pStyle w:val="DefaultText"/>
        <w:spacing w:line="260" w:lineRule="atLeast"/>
        <w:rPr>
          <w:rFonts w:cs="Arial"/>
          <w:sz w:val="20"/>
        </w:rPr>
      </w:pPr>
      <w:r w:rsidRPr="00993D07">
        <w:rPr>
          <w:rFonts w:cs="Arial"/>
          <w:b/>
          <w:i/>
          <w:sz w:val="20"/>
        </w:rPr>
        <w:t>Defensible</w:t>
      </w:r>
      <w:r w:rsidRPr="00993D07">
        <w:rPr>
          <w:rFonts w:cs="Arial"/>
          <w:sz w:val="20"/>
        </w:rPr>
        <w:t xml:space="preserve"> – able to be scrutinised and tested both internally and externally by all impacted parties. </w:t>
      </w:r>
    </w:p>
    <w:p w:rsidR="006E562C" w:rsidRPr="00993D07" w:rsidRDefault="006E562C" w:rsidP="006E562C">
      <w:pPr>
        <w:pStyle w:val="DefaultText"/>
        <w:spacing w:line="260" w:lineRule="atLeast"/>
        <w:rPr>
          <w:rFonts w:cs="Arial"/>
          <w:sz w:val="20"/>
        </w:rPr>
      </w:pPr>
    </w:p>
    <w:p w:rsidR="006E562C" w:rsidRPr="00993D07" w:rsidRDefault="006E562C" w:rsidP="006E562C">
      <w:pPr>
        <w:pStyle w:val="DefaultText"/>
        <w:rPr>
          <w:rFonts w:cs="Arial"/>
          <w:sz w:val="20"/>
        </w:rPr>
      </w:pPr>
      <w:r w:rsidRPr="00993D07">
        <w:rPr>
          <w:rFonts w:cs="Arial"/>
          <w:b/>
          <w:i/>
          <w:sz w:val="20"/>
        </w:rPr>
        <w:t>Auditable</w:t>
      </w:r>
      <w:r w:rsidRPr="00993D07">
        <w:rPr>
          <w:rFonts w:cs="Arial"/>
          <w:sz w:val="20"/>
        </w:rPr>
        <w:t xml:space="preserve"> – ready to be tested from a financial perspective by an independent arbitrator.</w:t>
      </w:r>
    </w:p>
    <w:p w:rsidR="006E562C" w:rsidRPr="00993D07" w:rsidRDefault="006E562C" w:rsidP="006E562C">
      <w:pPr>
        <w:pStyle w:val="DefaultText"/>
        <w:spacing w:line="260" w:lineRule="atLeast"/>
        <w:rPr>
          <w:rFonts w:cs="Arial"/>
          <w:sz w:val="20"/>
        </w:rPr>
      </w:pPr>
      <w:r w:rsidRPr="00993D07">
        <w:rPr>
          <w:rFonts w:cs="Arial"/>
          <w:sz w:val="20"/>
        </w:rPr>
        <w:t xml:space="preserve">Understandable – simple, non-complex and understood by all stakeholders, irrespective of their level of financial acumen. </w:t>
      </w:r>
    </w:p>
    <w:p w:rsidR="006E562C" w:rsidRPr="00993D07" w:rsidRDefault="006E562C" w:rsidP="006E562C">
      <w:pPr>
        <w:pStyle w:val="DefaultText"/>
        <w:spacing w:line="260" w:lineRule="atLeast"/>
        <w:rPr>
          <w:rFonts w:cs="Arial"/>
          <w:sz w:val="20"/>
        </w:rPr>
      </w:pPr>
    </w:p>
    <w:p w:rsidR="006E562C" w:rsidRPr="00993D07" w:rsidRDefault="006E562C" w:rsidP="006E562C">
      <w:pPr>
        <w:pStyle w:val="DefaultText"/>
        <w:spacing w:line="260" w:lineRule="atLeast"/>
        <w:rPr>
          <w:rFonts w:cs="Arial"/>
          <w:sz w:val="20"/>
        </w:rPr>
      </w:pPr>
      <w:r w:rsidRPr="00993D07">
        <w:rPr>
          <w:rFonts w:cs="Arial"/>
          <w:b/>
          <w:i/>
          <w:sz w:val="20"/>
        </w:rPr>
        <w:t>Flexible</w:t>
      </w:r>
      <w:r w:rsidRPr="00993D07">
        <w:rPr>
          <w:rFonts w:cs="Arial"/>
          <w:sz w:val="20"/>
        </w:rPr>
        <w:t xml:space="preserve"> – able to alter its calculations and approach as the structure of costs change</w:t>
      </w:r>
      <w:r w:rsidR="00592630" w:rsidRPr="00993D07">
        <w:rPr>
          <w:rFonts w:cs="Arial"/>
          <w:sz w:val="20"/>
        </w:rPr>
        <w:t>s</w:t>
      </w:r>
      <w:r w:rsidRPr="00993D07">
        <w:rPr>
          <w:rFonts w:cs="Arial"/>
          <w:sz w:val="20"/>
        </w:rPr>
        <w:t xml:space="preserve"> over time. </w:t>
      </w:r>
    </w:p>
    <w:p w:rsidR="006E562C" w:rsidRPr="00993D07" w:rsidRDefault="006E562C" w:rsidP="006E562C">
      <w:pPr>
        <w:pStyle w:val="DefaultText"/>
        <w:spacing w:line="260" w:lineRule="atLeast"/>
        <w:rPr>
          <w:rFonts w:cs="Arial"/>
          <w:sz w:val="20"/>
        </w:rPr>
      </w:pPr>
    </w:p>
    <w:p w:rsidR="006E562C" w:rsidRPr="00993D07" w:rsidRDefault="006E562C" w:rsidP="006E562C">
      <w:pPr>
        <w:pStyle w:val="DefaultText"/>
        <w:spacing w:line="260" w:lineRule="atLeast"/>
        <w:rPr>
          <w:rFonts w:cs="Arial"/>
          <w:sz w:val="20"/>
        </w:rPr>
      </w:pPr>
      <w:r w:rsidRPr="00993D07">
        <w:rPr>
          <w:rFonts w:cs="Arial"/>
          <w:b/>
          <w:i/>
          <w:sz w:val="20"/>
        </w:rPr>
        <w:t>Accurate</w:t>
      </w:r>
      <w:r w:rsidRPr="00993D07">
        <w:rPr>
          <w:rFonts w:cs="Arial"/>
          <w:sz w:val="20"/>
        </w:rPr>
        <w:t xml:space="preserve"> – ensure</w:t>
      </w:r>
      <w:r w:rsidR="00592630" w:rsidRPr="00993D07">
        <w:rPr>
          <w:rFonts w:cs="Arial"/>
          <w:sz w:val="20"/>
        </w:rPr>
        <w:t>s</w:t>
      </w:r>
      <w:r w:rsidRPr="00993D07">
        <w:rPr>
          <w:rFonts w:cs="Arial"/>
          <w:sz w:val="20"/>
        </w:rPr>
        <w:t xml:space="preserve"> that all costs required to be passed on are calculated </w:t>
      </w:r>
      <w:r w:rsidR="003F4C1F">
        <w:rPr>
          <w:rFonts w:cs="Arial"/>
          <w:sz w:val="20"/>
        </w:rPr>
        <w:t>accurately</w:t>
      </w:r>
      <w:r w:rsidRPr="00993D07">
        <w:rPr>
          <w:rFonts w:cs="Arial"/>
          <w:sz w:val="20"/>
        </w:rPr>
        <w:t xml:space="preserve"> and that data capture is robust to enable all costs to be charged back appropriately. </w:t>
      </w:r>
    </w:p>
    <w:p w:rsidR="006E562C" w:rsidRPr="00993D07" w:rsidRDefault="006E562C" w:rsidP="006E562C">
      <w:pPr>
        <w:pStyle w:val="DefaultText"/>
        <w:spacing w:line="260" w:lineRule="atLeast"/>
        <w:rPr>
          <w:rFonts w:cs="Arial"/>
          <w:sz w:val="20"/>
        </w:rPr>
      </w:pPr>
    </w:p>
    <w:p w:rsidR="006E562C" w:rsidRPr="00993D07" w:rsidRDefault="006E562C" w:rsidP="006E562C">
      <w:pPr>
        <w:pStyle w:val="DefaultText"/>
        <w:spacing w:line="260" w:lineRule="atLeast"/>
        <w:rPr>
          <w:rFonts w:cs="Arial"/>
          <w:sz w:val="20"/>
        </w:rPr>
      </w:pPr>
      <w:r w:rsidRPr="00993D07">
        <w:rPr>
          <w:rFonts w:cs="Arial"/>
          <w:sz w:val="20"/>
        </w:rPr>
        <w:t>Throughout the process, management have revisited these fundamentals to ensure that the proposed changes to the cost allocation percentage are in line with best practice.</w:t>
      </w:r>
    </w:p>
    <w:p w:rsidR="00853C0D" w:rsidRPr="00993D07" w:rsidRDefault="00B27334" w:rsidP="006E562C">
      <w:pPr>
        <w:pStyle w:val="Heading2"/>
      </w:pPr>
      <w:bookmarkStart w:id="14" w:name="_Toc346891237"/>
      <w:r w:rsidRPr="00993D07">
        <w:t xml:space="preserve">Percentage </w:t>
      </w:r>
      <w:r w:rsidR="003F4C1F">
        <w:t>r</w:t>
      </w:r>
      <w:r w:rsidR="00112EB8" w:rsidRPr="00993D07">
        <w:t>ates</w:t>
      </w:r>
      <w:r w:rsidR="00A7000F" w:rsidRPr="00993D07">
        <w:t xml:space="preserve"> adopted </w:t>
      </w:r>
      <w:r w:rsidRPr="00993D07">
        <w:t>at</w:t>
      </w:r>
      <w:r w:rsidR="00A7000F" w:rsidRPr="00993D07">
        <w:t xml:space="preserve"> inception</w:t>
      </w:r>
      <w:bookmarkEnd w:id="14"/>
      <w:r w:rsidR="00A14A00" w:rsidRPr="00993D07">
        <w:t xml:space="preserve"> </w:t>
      </w:r>
    </w:p>
    <w:p w:rsidR="00853C0D" w:rsidRPr="00993D07" w:rsidRDefault="00112EB8" w:rsidP="00853C0D">
      <w:pPr>
        <w:pStyle w:val="DefaultText"/>
        <w:spacing w:line="260" w:lineRule="atLeast"/>
        <w:rPr>
          <w:rFonts w:cs="Arial"/>
          <w:sz w:val="20"/>
        </w:rPr>
      </w:pPr>
      <w:r w:rsidRPr="00993D07">
        <w:rPr>
          <w:rFonts w:cs="Arial"/>
          <w:sz w:val="20"/>
        </w:rPr>
        <w:t>The initial c</w:t>
      </w:r>
      <w:r w:rsidR="0084501A" w:rsidRPr="00993D07">
        <w:rPr>
          <w:rFonts w:cs="Arial"/>
          <w:sz w:val="20"/>
        </w:rPr>
        <w:t xml:space="preserve">ost allocation percentages remained unchanged </w:t>
      </w:r>
      <w:r w:rsidRPr="00993D07">
        <w:rPr>
          <w:rFonts w:cs="Arial"/>
          <w:sz w:val="20"/>
        </w:rPr>
        <w:t>for the</w:t>
      </w:r>
      <w:r w:rsidR="0084501A" w:rsidRPr="00993D07">
        <w:rPr>
          <w:rFonts w:cs="Arial"/>
          <w:sz w:val="20"/>
        </w:rPr>
        <w:t xml:space="preserve"> first two years (from 1 July 2010 to 30 June 2012) of the Scheme</w:t>
      </w:r>
      <w:r w:rsidRPr="00993D07">
        <w:rPr>
          <w:rFonts w:cs="Arial"/>
          <w:sz w:val="20"/>
        </w:rPr>
        <w:t xml:space="preserve">.  </w:t>
      </w:r>
      <w:r w:rsidR="00A41338" w:rsidRPr="00993D07">
        <w:rPr>
          <w:rFonts w:cs="Arial"/>
          <w:sz w:val="20"/>
        </w:rPr>
        <w:t>While w</w:t>
      </w:r>
      <w:r w:rsidR="00853C0D" w:rsidRPr="00993D07">
        <w:rPr>
          <w:rFonts w:cs="Arial"/>
          <w:sz w:val="20"/>
        </w:rPr>
        <w:t xml:space="preserve">e were not supplied with documentation that supported the </w:t>
      </w:r>
      <w:r w:rsidRPr="00993D07">
        <w:rPr>
          <w:rFonts w:cs="Arial"/>
          <w:sz w:val="20"/>
        </w:rPr>
        <w:t xml:space="preserve">initial </w:t>
      </w:r>
      <w:r w:rsidR="00853C0D" w:rsidRPr="00993D07">
        <w:rPr>
          <w:rFonts w:cs="Arial"/>
          <w:sz w:val="20"/>
        </w:rPr>
        <w:t xml:space="preserve">percentage allocation, we were advised that the </w:t>
      </w:r>
      <w:r w:rsidRPr="00993D07">
        <w:rPr>
          <w:rFonts w:cs="Arial"/>
          <w:sz w:val="20"/>
        </w:rPr>
        <w:t>the allocation p</w:t>
      </w:r>
      <w:r w:rsidR="00853C0D" w:rsidRPr="00993D07">
        <w:rPr>
          <w:rFonts w:cs="Arial"/>
          <w:sz w:val="20"/>
        </w:rPr>
        <w:t xml:space="preserve">ercentages considered historical cost structures </w:t>
      </w:r>
      <w:r w:rsidRPr="00993D07">
        <w:rPr>
          <w:rFonts w:cs="Arial"/>
          <w:sz w:val="20"/>
        </w:rPr>
        <w:t xml:space="preserve">of the Boards </w:t>
      </w:r>
      <w:r w:rsidR="00853C0D" w:rsidRPr="00993D07">
        <w:rPr>
          <w:rFonts w:cs="Arial"/>
          <w:sz w:val="20"/>
        </w:rPr>
        <w:t>and budgets for each of the Boards</w:t>
      </w:r>
      <w:r w:rsidR="00B008D2">
        <w:rPr>
          <w:rFonts w:cs="Arial"/>
          <w:sz w:val="20"/>
        </w:rPr>
        <w:t xml:space="preserve"> (as evident prior to the National Scheme)</w:t>
      </w:r>
      <w:r w:rsidR="00853C0D" w:rsidRPr="00993D07">
        <w:rPr>
          <w:rFonts w:cs="Arial"/>
          <w:sz w:val="20"/>
        </w:rPr>
        <w:t xml:space="preserve">, as well as Board </w:t>
      </w:r>
      <w:r w:rsidR="00592630" w:rsidRPr="00993D07">
        <w:rPr>
          <w:rFonts w:cs="Arial"/>
          <w:sz w:val="20"/>
        </w:rPr>
        <w:t>s</w:t>
      </w:r>
      <w:r w:rsidR="00853C0D" w:rsidRPr="00993D07">
        <w:rPr>
          <w:rFonts w:cs="Arial"/>
          <w:sz w:val="20"/>
        </w:rPr>
        <w:t>tructures and complexity.</w:t>
      </w:r>
    </w:p>
    <w:p w:rsidR="00112EB8" w:rsidRPr="00993D07" w:rsidRDefault="00112EB8" w:rsidP="00853C0D">
      <w:pPr>
        <w:pStyle w:val="DefaultText"/>
        <w:spacing w:line="260" w:lineRule="atLeast"/>
        <w:rPr>
          <w:rFonts w:cs="Arial"/>
          <w:sz w:val="20"/>
        </w:rPr>
      </w:pPr>
    </w:p>
    <w:p w:rsidR="00387455" w:rsidRPr="00993D07" w:rsidRDefault="00125ECA" w:rsidP="00387455">
      <w:pPr>
        <w:pStyle w:val="DefaultText"/>
        <w:spacing w:line="260" w:lineRule="atLeast"/>
        <w:rPr>
          <w:rFonts w:cs="Arial"/>
          <w:sz w:val="20"/>
        </w:rPr>
      </w:pPr>
      <w:r w:rsidRPr="00993D07">
        <w:rPr>
          <w:rFonts w:cs="Arial"/>
          <w:sz w:val="20"/>
        </w:rPr>
        <w:t>It was</w:t>
      </w:r>
      <w:r w:rsidR="00387455" w:rsidRPr="00993D07">
        <w:rPr>
          <w:rFonts w:cs="Arial"/>
          <w:sz w:val="20"/>
        </w:rPr>
        <w:t xml:space="preserve"> recognised </w:t>
      </w:r>
      <w:r w:rsidR="00917BBB" w:rsidRPr="00993D07">
        <w:rPr>
          <w:rFonts w:cs="Arial"/>
          <w:sz w:val="20"/>
        </w:rPr>
        <w:t>b</w:t>
      </w:r>
      <w:r w:rsidR="0084501A" w:rsidRPr="00993D07">
        <w:rPr>
          <w:rFonts w:cs="Arial"/>
          <w:sz w:val="20"/>
        </w:rPr>
        <w:t xml:space="preserve">y AHPRA management and the National Boads </w:t>
      </w:r>
      <w:r w:rsidR="00387455" w:rsidRPr="00993D07">
        <w:rPr>
          <w:rFonts w:cs="Arial"/>
          <w:sz w:val="20"/>
        </w:rPr>
        <w:t xml:space="preserve">that in order to provide certainty and a </w:t>
      </w:r>
      <w:r w:rsidR="0084501A" w:rsidRPr="00993D07">
        <w:rPr>
          <w:rFonts w:cs="Arial"/>
          <w:sz w:val="20"/>
        </w:rPr>
        <w:t>higher</w:t>
      </w:r>
      <w:r w:rsidR="00387455" w:rsidRPr="00993D07">
        <w:rPr>
          <w:rFonts w:cs="Arial"/>
          <w:sz w:val="20"/>
        </w:rPr>
        <w:t xml:space="preserve"> level of </w:t>
      </w:r>
      <w:r w:rsidR="0084501A" w:rsidRPr="00993D07">
        <w:rPr>
          <w:rFonts w:cs="Arial"/>
          <w:sz w:val="20"/>
        </w:rPr>
        <w:t>accuracy</w:t>
      </w:r>
      <w:r w:rsidR="00387455" w:rsidRPr="00993D07">
        <w:rPr>
          <w:rFonts w:cs="Arial"/>
          <w:sz w:val="20"/>
        </w:rPr>
        <w:t xml:space="preserve"> around any cost allocations, AHPRA needed to develop a formal methodology that could be explained to stakeholders and ther</w:t>
      </w:r>
      <w:r w:rsidR="00A21CC9" w:rsidRPr="00993D07">
        <w:rPr>
          <w:rFonts w:cs="Arial"/>
          <w:sz w:val="20"/>
        </w:rPr>
        <w:t>e</w:t>
      </w:r>
      <w:r w:rsidR="00387455" w:rsidRPr="00993D07">
        <w:rPr>
          <w:rFonts w:cs="Arial"/>
          <w:sz w:val="20"/>
        </w:rPr>
        <w:t xml:space="preserve">fore </w:t>
      </w:r>
      <w:r w:rsidR="006109FC">
        <w:rPr>
          <w:rFonts w:cs="Arial"/>
          <w:sz w:val="20"/>
        </w:rPr>
        <w:t>increase transparency about the basis for</w:t>
      </w:r>
      <w:r w:rsidR="00387455" w:rsidRPr="00993D07">
        <w:rPr>
          <w:rFonts w:cs="Arial"/>
          <w:sz w:val="20"/>
        </w:rPr>
        <w:t xml:space="preserve"> future cost allocations.</w:t>
      </w:r>
      <w:r w:rsidRPr="00993D07">
        <w:rPr>
          <w:rFonts w:cs="Arial"/>
          <w:sz w:val="20"/>
        </w:rPr>
        <w:t xml:space="preserve">  </w:t>
      </w:r>
    </w:p>
    <w:p w:rsidR="006C4A15" w:rsidRPr="00993D07" w:rsidRDefault="006C4A15" w:rsidP="00387455">
      <w:pPr>
        <w:pStyle w:val="DefaultText"/>
        <w:spacing w:line="260" w:lineRule="atLeast"/>
        <w:rPr>
          <w:rFonts w:cs="Arial"/>
          <w:sz w:val="20"/>
        </w:rPr>
      </w:pPr>
    </w:p>
    <w:p w:rsidR="006C4A15" w:rsidRPr="00993D07" w:rsidRDefault="006C4A15" w:rsidP="00387455">
      <w:pPr>
        <w:pStyle w:val="DefaultText"/>
        <w:spacing w:line="260" w:lineRule="atLeast"/>
        <w:rPr>
          <w:rFonts w:cs="Arial"/>
          <w:sz w:val="20"/>
        </w:rPr>
      </w:pPr>
      <w:r w:rsidRPr="00993D07">
        <w:rPr>
          <w:rFonts w:cs="Arial"/>
          <w:sz w:val="20"/>
        </w:rPr>
        <w:t>Moore Stephens was engaged in October 2011, to provide AHPRA with a revised methodology, derived from available evidence, that would accurately reflect costs incurred by AHPRA on behalf of the 14 National Boards.</w:t>
      </w:r>
    </w:p>
    <w:p w:rsidR="00A14A00" w:rsidRPr="00993D07" w:rsidRDefault="00A14A00" w:rsidP="00387455">
      <w:pPr>
        <w:pStyle w:val="DefaultText"/>
        <w:spacing w:line="260" w:lineRule="atLeast"/>
        <w:rPr>
          <w:rFonts w:cs="Arial"/>
          <w:sz w:val="20"/>
        </w:rPr>
      </w:pPr>
    </w:p>
    <w:p w:rsidR="00A14A00" w:rsidRPr="00993D07" w:rsidRDefault="00A14A00" w:rsidP="00A14A00">
      <w:pPr>
        <w:pStyle w:val="DefaultText"/>
        <w:spacing w:line="260" w:lineRule="atLeast"/>
        <w:rPr>
          <w:rFonts w:cs="Arial"/>
          <w:b/>
          <w:sz w:val="20"/>
        </w:rPr>
      </w:pPr>
      <w:r w:rsidRPr="00993D07">
        <w:rPr>
          <w:rFonts w:cs="Arial"/>
          <w:sz w:val="20"/>
        </w:rPr>
        <w:t xml:space="preserve">Our report, delivered in </w:t>
      </w:r>
      <w:r w:rsidR="00DC506C" w:rsidRPr="00993D07">
        <w:rPr>
          <w:rFonts w:cs="Arial"/>
          <w:sz w:val="20"/>
        </w:rPr>
        <w:t xml:space="preserve">April </w:t>
      </w:r>
      <w:r w:rsidRPr="00993D07">
        <w:rPr>
          <w:rFonts w:cs="Arial"/>
          <w:sz w:val="20"/>
        </w:rPr>
        <w:t xml:space="preserve">2012, </w:t>
      </w:r>
      <w:r w:rsidR="0084501A" w:rsidRPr="00993D07">
        <w:rPr>
          <w:rFonts w:cs="Arial"/>
          <w:sz w:val="20"/>
        </w:rPr>
        <w:t xml:space="preserve">identified a lack of suitable data to aid in the development of a more robust model.  </w:t>
      </w:r>
      <w:r w:rsidR="00141A4D">
        <w:rPr>
          <w:rFonts w:cs="Arial"/>
          <w:sz w:val="20"/>
        </w:rPr>
        <w:t xml:space="preserve">We also expressed </w:t>
      </w:r>
      <w:r w:rsidR="00AC184F">
        <w:rPr>
          <w:rFonts w:cs="Arial"/>
          <w:sz w:val="20"/>
        </w:rPr>
        <w:t>concern that there was unknown variability and quality of the data that would be available upon entry of the 4 new professions.  Thus, w</w:t>
      </w:r>
      <w:r w:rsidR="0084501A" w:rsidRPr="00993D07">
        <w:rPr>
          <w:rFonts w:cs="Arial"/>
          <w:sz w:val="20"/>
        </w:rPr>
        <w:t xml:space="preserve">e </w:t>
      </w:r>
      <w:r w:rsidRPr="00993D07">
        <w:rPr>
          <w:rFonts w:cs="Arial"/>
          <w:sz w:val="20"/>
        </w:rPr>
        <w:t>made the following recommendation; “…….</w:t>
      </w:r>
      <w:r w:rsidRPr="00993D07">
        <w:rPr>
          <w:rFonts w:cs="Arial"/>
          <w:b/>
          <w:sz w:val="20"/>
        </w:rPr>
        <w:t xml:space="preserve">As a result, given the level of unknown variables (insufficient data) in the cost allocation methodology, management are encouraged to consider deferring a change to the existing </w:t>
      </w:r>
      <w:r w:rsidR="00592630" w:rsidRPr="00993D07">
        <w:rPr>
          <w:rFonts w:cs="Arial"/>
          <w:b/>
          <w:sz w:val="20"/>
        </w:rPr>
        <w:t>methodology until 1 July 2013.</w:t>
      </w:r>
    </w:p>
    <w:p w:rsidR="00A14A00" w:rsidRPr="00993D07" w:rsidRDefault="00A14A00" w:rsidP="00A14A00">
      <w:pPr>
        <w:pStyle w:val="DefaultText"/>
        <w:spacing w:line="260" w:lineRule="atLeast"/>
        <w:rPr>
          <w:rFonts w:cs="Arial"/>
          <w:b/>
          <w:sz w:val="20"/>
        </w:rPr>
      </w:pPr>
    </w:p>
    <w:p w:rsidR="00A14A00" w:rsidRPr="00993D07" w:rsidRDefault="00A14A00" w:rsidP="00387455">
      <w:pPr>
        <w:pStyle w:val="DefaultText"/>
        <w:spacing w:line="260" w:lineRule="atLeast"/>
        <w:rPr>
          <w:rFonts w:cs="Arial"/>
          <w:sz w:val="20"/>
        </w:rPr>
      </w:pPr>
      <w:r w:rsidRPr="00993D07">
        <w:rPr>
          <w:rFonts w:cs="Arial"/>
          <w:b/>
          <w:sz w:val="20"/>
        </w:rPr>
        <w:t>Such a deferral would enable AHPRA time to accumulate meaningful data over the next 12 months that would ensure a more reliable and defensible methodololgy.”</w:t>
      </w:r>
    </w:p>
    <w:p w:rsidR="00592630" w:rsidRPr="00993D07" w:rsidRDefault="00592630">
      <w:pPr>
        <w:spacing w:line="240" w:lineRule="auto"/>
        <w:rPr>
          <w:rFonts w:cs="Arial"/>
          <w:bCs/>
          <w:snapToGrid w:val="0"/>
          <w:color w:val="00B0F0"/>
          <w:sz w:val="24"/>
          <w:szCs w:val="24"/>
        </w:rPr>
      </w:pPr>
      <w:r w:rsidRPr="00993D07">
        <w:br w:type="page"/>
      </w:r>
    </w:p>
    <w:p w:rsidR="00B27334" w:rsidRPr="00993D07" w:rsidRDefault="00B27334" w:rsidP="00CC5F54">
      <w:pPr>
        <w:pStyle w:val="Heading2"/>
      </w:pPr>
      <w:bookmarkStart w:id="15" w:name="_Toc346891238"/>
      <w:r w:rsidRPr="00993D07">
        <w:t>Rates adopted for 2012/13</w:t>
      </w:r>
      <w:bookmarkEnd w:id="15"/>
      <w:r w:rsidRPr="00993D07">
        <w:t xml:space="preserve"> </w:t>
      </w:r>
    </w:p>
    <w:p w:rsidR="00B27334" w:rsidRPr="00993D07" w:rsidRDefault="00A14A00" w:rsidP="00387455">
      <w:pPr>
        <w:pStyle w:val="DefaultText"/>
        <w:spacing w:line="260" w:lineRule="atLeast"/>
        <w:rPr>
          <w:rFonts w:cs="Arial"/>
          <w:sz w:val="20"/>
        </w:rPr>
      </w:pPr>
      <w:r w:rsidRPr="00993D07">
        <w:rPr>
          <w:rFonts w:cs="Arial"/>
          <w:sz w:val="20"/>
        </w:rPr>
        <w:t xml:space="preserve">The review conducted </w:t>
      </w:r>
      <w:r w:rsidR="0084501A" w:rsidRPr="00993D07">
        <w:rPr>
          <w:rFonts w:cs="Arial"/>
          <w:sz w:val="20"/>
        </w:rPr>
        <w:t xml:space="preserve">by Moore Stephens </w:t>
      </w:r>
      <w:r w:rsidRPr="00993D07">
        <w:rPr>
          <w:rFonts w:cs="Arial"/>
          <w:sz w:val="20"/>
        </w:rPr>
        <w:t>in late 201</w:t>
      </w:r>
      <w:r w:rsidR="00B27334" w:rsidRPr="00993D07">
        <w:rPr>
          <w:rFonts w:cs="Arial"/>
          <w:sz w:val="20"/>
        </w:rPr>
        <w:t>1</w:t>
      </w:r>
      <w:r w:rsidRPr="00993D07">
        <w:rPr>
          <w:rFonts w:cs="Arial"/>
          <w:sz w:val="20"/>
        </w:rPr>
        <w:t xml:space="preserve"> highlighted that there was not sufficient evidence available to implement a long term change</w:t>
      </w:r>
      <w:r w:rsidR="00B27334" w:rsidRPr="00993D07">
        <w:rPr>
          <w:rFonts w:cs="Arial"/>
          <w:sz w:val="20"/>
        </w:rPr>
        <w:t xml:space="preserve"> with confidence</w:t>
      </w:r>
      <w:r w:rsidRPr="00993D07">
        <w:rPr>
          <w:rFonts w:cs="Arial"/>
          <w:sz w:val="20"/>
        </w:rPr>
        <w:t xml:space="preserve">.  </w:t>
      </w:r>
      <w:r w:rsidR="0084501A" w:rsidRPr="00993D07">
        <w:rPr>
          <w:rFonts w:cs="Arial"/>
          <w:sz w:val="20"/>
        </w:rPr>
        <w:t xml:space="preserve">As a result of these findings, management decided </w:t>
      </w:r>
      <w:r w:rsidR="00DB63A2" w:rsidRPr="00993D07">
        <w:rPr>
          <w:rFonts w:cs="Arial"/>
          <w:sz w:val="20"/>
        </w:rPr>
        <w:t xml:space="preserve">in the short term, </w:t>
      </w:r>
      <w:r w:rsidR="0084501A" w:rsidRPr="00993D07">
        <w:rPr>
          <w:rFonts w:cs="Arial"/>
          <w:sz w:val="20"/>
        </w:rPr>
        <w:t xml:space="preserve">to make </w:t>
      </w:r>
      <w:r w:rsidRPr="00993D07">
        <w:rPr>
          <w:rFonts w:cs="Arial"/>
          <w:sz w:val="20"/>
        </w:rPr>
        <w:t xml:space="preserve">some </w:t>
      </w:r>
      <w:r w:rsidR="0084501A" w:rsidRPr="00993D07">
        <w:rPr>
          <w:rFonts w:cs="Arial"/>
          <w:sz w:val="20"/>
        </w:rPr>
        <w:t xml:space="preserve">minor </w:t>
      </w:r>
      <w:r w:rsidRPr="00993D07">
        <w:rPr>
          <w:rFonts w:cs="Arial"/>
          <w:sz w:val="20"/>
        </w:rPr>
        <w:t xml:space="preserve">amendments </w:t>
      </w:r>
      <w:r w:rsidR="00A7000F" w:rsidRPr="00993D07">
        <w:rPr>
          <w:rFonts w:cs="Arial"/>
          <w:sz w:val="20"/>
        </w:rPr>
        <w:t xml:space="preserve">or ‘fine tuning’ </w:t>
      </w:r>
      <w:r w:rsidRPr="00993D07">
        <w:rPr>
          <w:rFonts w:cs="Arial"/>
          <w:sz w:val="20"/>
        </w:rPr>
        <w:t xml:space="preserve">to the </w:t>
      </w:r>
      <w:r w:rsidR="00A308D6" w:rsidRPr="00993D07">
        <w:rPr>
          <w:rFonts w:cs="Arial"/>
          <w:sz w:val="20"/>
        </w:rPr>
        <w:t>model adopted</w:t>
      </w:r>
      <w:r w:rsidR="0084501A" w:rsidRPr="00993D07">
        <w:rPr>
          <w:rFonts w:cs="Arial"/>
          <w:sz w:val="20"/>
        </w:rPr>
        <w:t xml:space="preserve"> at inception</w:t>
      </w:r>
      <w:r w:rsidR="00A308D6" w:rsidRPr="00993D07">
        <w:rPr>
          <w:rFonts w:cs="Arial"/>
          <w:sz w:val="20"/>
        </w:rPr>
        <w:t>.</w:t>
      </w:r>
      <w:r w:rsidR="005C3A5D" w:rsidRPr="00993D07">
        <w:rPr>
          <w:rFonts w:cs="Arial"/>
          <w:sz w:val="20"/>
        </w:rPr>
        <w:t xml:space="preserve">  This was necessary due to the introduction of the 4 </w:t>
      </w:r>
      <w:r w:rsidR="00950E63" w:rsidRPr="00993D07">
        <w:rPr>
          <w:rFonts w:cs="Arial"/>
          <w:sz w:val="20"/>
        </w:rPr>
        <w:t>health professions joining</w:t>
      </w:r>
      <w:r w:rsidR="00A308D6" w:rsidRPr="00993D07">
        <w:rPr>
          <w:rFonts w:cs="Arial"/>
          <w:sz w:val="20"/>
        </w:rPr>
        <w:t xml:space="preserve"> </w:t>
      </w:r>
      <w:r w:rsidR="00950E63" w:rsidRPr="00993D07">
        <w:rPr>
          <w:rFonts w:cs="Arial"/>
          <w:sz w:val="20"/>
        </w:rPr>
        <w:t xml:space="preserve">the Scheme </w:t>
      </w:r>
      <w:r w:rsidR="00A308D6" w:rsidRPr="00993D07">
        <w:rPr>
          <w:rFonts w:cs="Arial"/>
          <w:sz w:val="20"/>
        </w:rPr>
        <w:t>from 1 July 2012</w:t>
      </w:r>
      <w:r w:rsidR="005C3A5D" w:rsidRPr="00993D07">
        <w:rPr>
          <w:rFonts w:cs="Arial"/>
          <w:sz w:val="20"/>
        </w:rPr>
        <w:t>.  Therefore relative workloads had to be estimated.</w:t>
      </w:r>
    </w:p>
    <w:p w:rsidR="00B27334" w:rsidRPr="00993D07" w:rsidRDefault="00B27334" w:rsidP="00387455">
      <w:pPr>
        <w:pStyle w:val="DefaultText"/>
        <w:spacing w:line="260" w:lineRule="atLeast"/>
        <w:rPr>
          <w:rFonts w:cs="Arial"/>
          <w:sz w:val="20"/>
        </w:rPr>
      </w:pPr>
    </w:p>
    <w:p w:rsidR="00B27334" w:rsidRPr="00993D07" w:rsidRDefault="00B27334" w:rsidP="00A308D6">
      <w:pPr>
        <w:pStyle w:val="DefaultText"/>
        <w:spacing w:line="260" w:lineRule="atLeast"/>
        <w:rPr>
          <w:rFonts w:cs="Arial"/>
          <w:sz w:val="20"/>
        </w:rPr>
      </w:pPr>
      <w:r w:rsidRPr="00993D07">
        <w:rPr>
          <w:rFonts w:cs="Arial"/>
          <w:sz w:val="20"/>
        </w:rPr>
        <w:t xml:space="preserve">The percentage allocations adopted for 2012/13 were approved by each of the </w:t>
      </w:r>
      <w:r w:rsidR="00DB63A2" w:rsidRPr="00993D07">
        <w:rPr>
          <w:rFonts w:cs="Arial"/>
          <w:sz w:val="20"/>
        </w:rPr>
        <w:t xml:space="preserve">14 </w:t>
      </w:r>
      <w:r w:rsidRPr="00993D07">
        <w:rPr>
          <w:rFonts w:cs="Arial"/>
          <w:sz w:val="20"/>
        </w:rPr>
        <w:t>National Boards prior to 1 July 2012.  The revised percentages were based on the following considerations;</w:t>
      </w:r>
    </w:p>
    <w:p w:rsidR="00B27334" w:rsidRPr="00993D07" w:rsidRDefault="00B27334" w:rsidP="00A308D6">
      <w:pPr>
        <w:pStyle w:val="DefaultText"/>
        <w:spacing w:line="260" w:lineRule="atLeast"/>
        <w:rPr>
          <w:rFonts w:cs="Arial"/>
          <w:sz w:val="20"/>
        </w:rPr>
      </w:pPr>
    </w:p>
    <w:p w:rsidR="00B27334" w:rsidRPr="00993D07" w:rsidRDefault="00B27334" w:rsidP="00A308D6">
      <w:pPr>
        <w:pStyle w:val="DefaultText"/>
        <w:numPr>
          <w:ilvl w:val="0"/>
          <w:numId w:val="27"/>
        </w:numPr>
        <w:spacing w:line="260" w:lineRule="atLeast"/>
        <w:rPr>
          <w:rFonts w:cs="Arial"/>
          <w:sz w:val="20"/>
        </w:rPr>
      </w:pPr>
      <w:r w:rsidRPr="00993D07">
        <w:rPr>
          <w:rFonts w:cs="Arial"/>
          <w:sz w:val="20"/>
          <w:u w:val="single"/>
        </w:rPr>
        <w:t>estimated</w:t>
      </w:r>
      <w:r w:rsidRPr="00993D07">
        <w:rPr>
          <w:rFonts w:cs="Arial"/>
          <w:sz w:val="20"/>
        </w:rPr>
        <w:t xml:space="preserve"> effort in </w:t>
      </w:r>
      <w:r w:rsidR="009254EF">
        <w:rPr>
          <w:rFonts w:cs="Arial"/>
          <w:sz w:val="20"/>
        </w:rPr>
        <w:t xml:space="preserve">assessing and </w:t>
      </w:r>
      <w:r w:rsidRPr="00993D07">
        <w:rPr>
          <w:rFonts w:cs="Arial"/>
          <w:sz w:val="20"/>
        </w:rPr>
        <w:t>processing registration and renewals in 2012/13, with reference to the estimated number of practitioners and an estimation of relativity to other professions;</w:t>
      </w:r>
    </w:p>
    <w:p w:rsidR="00B27334" w:rsidRPr="00993D07" w:rsidRDefault="00B27334" w:rsidP="00A308D6">
      <w:pPr>
        <w:pStyle w:val="DefaultText"/>
        <w:spacing w:line="260" w:lineRule="atLeast"/>
        <w:ind w:left="1080"/>
        <w:rPr>
          <w:rFonts w:cs="Arial"/>
          <w:sz w:val="20"/>
        </w:rPr>
      </w:pPr>
    </w:p>
    <w:p w:rsidR="00B27334" w:rsidRPr="00993D07" w:rsidRDefault="00B27334" w:rsidP="00A308D6">
      <w:pPr>
        <w:pStyle w:val="DefaultText"/>
        <w:numPr>
          <w:ilvl w:val="0"/>
          <w:numId w:val="27"/>
        </w:numPr>
        <w:spacing w:line="260" w:lineRule="atLeast"/>
        <w:rPr>
          <w:rFonts w:cs="Arial"/>
          <w:sz w:val="20"/>
        </w:rPr>
      </w:pPr>
      <w:r w:rsidRPr="00993D07">
        <w:rPr>
          <w:rFonts w:cs="Arial"/>
          <w:sz w:val="20"/>
          <w:u w:val="single"/>
        </w:rPr>
        <w:t>estimated</w:t>
      </w:r>
      <w:r w:rsidRPr="00993D07">
        <w:rPr>
          <w:rFonts w:cs="Arial"/>
          <w:sz w:val="20"/>
        </w:rPr>
        <w:t xml:space="preserve"> effort in </w:t>
      </w:r>
      <w:r w:rsidR="009254EF">
        <w:rPr>
          <w:rFonts w:cs="Arial"/>
          <w:sz w:val="20"/>
        </w:rPr>
        <w:t>managing</w:t>
      </w:r>
      <w:r w:rsidR="009254EF" w:rsidRPr="00993D07">
        <w:rPr>
          <w:rFonts w:cs="Arial"/>
          <w:sz w:val="20"/>
        </w:rPr>
        <w:t xml:space="preserve"> </w:t>
      </w:r>
      <w:r w:rsidRPr="00993D07">
        <w:rPr>
          <w:rFonts w:cs="Arial"/>
          <w:sz w:val="20"/>
        </w:rPr>
        <w:t>n</w:t>
      </w:r>
      <w:r w:rsidR="00376DD6" w:rsidRPr="00993D07">
        <w:rPr>
          <w:rFonts w:cs="Arial"/>
          <w:sz w:val="20"/>
        </w:rPr>
        <w:t>otification matters during 2012/</w:t>
      </w:r>
      <w:r w:rsidRPr="00993D07">
        <w:rPr>
          <w:rFonts w:cs="Arial"/>
          <w:sz w:val="20"/>
        </w:rPr>
        <w:t>13 (and relative to other Boards) based on an estimation of the number of notification cases to be assessed/managed; and</w:t>
      </w:r>
    </w:p>
    <w:p w:rsidR="00B27334" w:rsidRPr="00993D07" w:rsidRDefault="00B27334" w:rsidP="00A308D6">
      <w:pPr>
        <w:pStyle w:val="DefaultText"/>
        <w:spacing w:line="260" w:lineRule="atLeast"/>
        <w:rPr>
          <w:rFonts w:cs="Arial"/>
          <w:sz w:val="20"/>
        </w:rPr>
      </w:pPr>
    </w:p>
    <w:p w:rsidR="00A7000F" w:rsidRPr="00993D07" w:rsidRDefault="00B27334" w:rsidP="00A308D6">
      <w:pPr>
        <w:pStyle w:val="DefaultText"/>
        <w:numPr>
          <w:ilvl w:val="0"/>
          <w:numId w:val="27"/>
        </w:numPr>
        <w:spacing w:line="260" w:lineRule="atLeast"/>
        <w:rPr>
          <w:rFonts w:cs="Arial"/>
          <w:sz w:val="20"/>
        </w:rPr>
      </w:pPr>
      <w:r w:rsidRPr="00993D07">
        <w:rPr>
          <w:rFonts w:cs="Arial"/>
          <w:sz w:val="20"/>
          <w:u w:val="single"/>
        </w:rPr>
        <w:t>estimated</w:t>
      </w:r>
      <w:r w:rsidRPr="00993D07">
        <w:rPr>
          <w:rFonts w:cs="Arial"/>
          <w:sz w:val="20"/>
        </w:rPr>
        <w:t xml:space="preserve"> effort in supportin</w:t>
      </w:r>
      <w:r w:rsidR="00376DD6" w:rsidRPr="00993D07">
        <w:rPr>
          <w:rFonts w:cs="Arial"/>
          <w:sz w:val="20"/>
        </w:rPr>
        <w:t xml:space="preserve">g </w:t>
      </w:r>
      <w:r w:rsidR="009254EF">
        <w:rPr>
          <w:rFonts w:cs="Arial"/>
          <w:sz w:val="20"/>
        </w:rPr>
        <w:t>B</w:t>
      </w:r>
      <w:r w:rsidR="00376DD6" w:rsidRPr="00993D07">
        <w:rPr>
          <w:rFonts w:cs="Arial"/>
          <w:sz w:val="20"/>
        </w:rPr>
        <w:t>oards and committees in 2012/</w:t>
      </w:r>
      <w:r w:rsidRPr="00993D07">
        <w:rPr>
          <w:rFonts w:cs="Arial"/>
          <w:sz w:val="20"/>
        </w:rPr>
        <w:t>13 (and relative to other Boards).</w:t>
      </w:r>
    </w:p>
    <w:p w:rsidR="00A7000F" w:rsidRPr="00993D07" w:rsidRDefault="00A7000F" w:rsidP="00A308D6">
      <w:pPr>
        <w:pStyle w:val="DefaultText"/>
        <w:spacing w:line="260" w:lineRule="atLeast"/>
        <w:rPr>
          <w:rFonts w:cs="Arial"/>
          <w:sz w:val="20"/>
        </w:rPr>
      </w:pPr>
    </w:p>
    <w:p w:rsidR="0084501A" w:rsidRPr="00993D07" w:rsidRDefault="0084501A" w:rsidP="00A308D6">
      <w:pPr>
        <w:pStyle w:val="DefaultText"/>
        <w:spacing w:line="260" w:lineRule="atLeast"/>
        <w:rPr>
          <w:rFonts w:cs="Arial"/>
          <w:sz w:val="20"/>
        </w:rPr>
      </w:pPr>
      <w:r w:rsidRPr="00993D07">
        <w:rPr>
          <w:rFonts w:cs="Arial"/>
          <w:sz w:val="20"/>
        </w:rPr>
        <w:t>The impacts of these adjustment</w:t>
      </w:r>
      <w:r w:rsidR="00B27334" w:rsidRPr="00993D07">
        <w:rPr>
          <w:rFonts w:cs="Arial"/>
          <w:sz w:val="20"/>
        </w:rPr>
        <w:t xml:space="preserve"> considerations</w:t>
      </w:r>
      <w:r w:rsidRPr="00993D07">
        <w:rPr>
          <w:rFonts w:cs="Arial"/>
          <w:sz w:val="20"/>
        </w:rPr>
        <w:t xml:space="preserve"> are noted in the cost allocation comparison table in Section 2.</w:t>
      </w:r>
    </w:p>
    <w:p w:rsidR="00DB63A2" w:rsidRPr="00993D07" w:rsidRDefault="00DB63A2" w:rsidP="00A308D6">
      <w:pPr>
        <w:pStyle w:val="DefaultText"/>
        <w:spacing w:line="260" w:lineRule="atLeast"/>
        <w:rPr>
          <w:rFonts w:cs="Arial"/>
          <w:sz w:val="20"/>
        </w:rPr>
      </w:pPr>
    </w:p>
    <w:p w:rsidR="00DB63A2" w:rsidRPr="00993D07" w:rsidRDefault="00141A4D" w:rsidP="00A7000F">
      <w:pPr>
        <w:pStyle w:val="DefaultText"/>
        <w:spacing w:line="260" w:lineRule="atLeast"/>
        <w:rPr>
          <w:rFonts w:cs="Arial"/>
          <w:sz w:val="20"/>
        </w:rPr>
      </w:pPr>
      <w:r>
        <w:rPr>
          <w:rFonts w:cs="Arial"/>
          <w:sz w:val="20"/>
        </w:rPr>
        <w:t xml:space="preserve">Management used all available historical data in the calculation of the revised percentages for 2012/13.  </w:t>
      </w:r>
      <w:r w:rsidR="00DB63A2" w:rsidRPr="00993D07">
        <w:rPr>
          <w:rFonts w:cs="Arial"/>
          <w:sz w:val="20"/>
        </w:rPr>
        <w:t>We have not reviewed evidence relating to the changes made</w:t>
      </w:r>
      <w:r>
        <w:rPr>
          <w:rFonts w:cs="Arial"/>
          <w:sz w:val="20"/>
        </w:rPr>
        <w:t xml:space="preserve"> for </w:t>
      </w:r>
      <w:r w:rsidR="00AC184F">
        <w:rPr>
          <w:rFonts w:cs="Arial"/>
          <w:sz w:val="20"/>
        </w:rPr>
        <w:t>the 2012/13</w:t>
      </w:r>
      <w:r>
        <w:rPr>
          <w:rFonts w:cs="Arial"/>
          <w:sz w:val="20"/>
        </w:rPr>
        <w:t xml:space="preserve"> year as this is not part of the scope of this review.</w:t>
      </w:r>
    </w:p>
    <w:p w:rsidR="00387455" w:rsidRPr="00993D07" w:rsidRDefault="0084501A" w:rsidP="00CC5F54">
      <w:pPr>
        <w:pStyle w:val="Heading2"/>
      </w:pPr>
      <w:bookmarkStart w:id="16" w:name="_Toc346891239"/>
      <w:r w:rsidRPr="00993D07">
        <w:t>Building data through a timesheet collation approach</w:t>
      </w:r>
      <w:bookmarkEnd w:id="16"/>
    </w:p>
    <w:p w:rsidR="00787EBD" w:rsidRPr="00993D07" w:rsidRDefault="00E701D2" w:rsidP="0084501A">
      <w:pPr>
        <w:pStyle w:val="DefaultText"/>
        <w:spacing w:line="260" w:lineRule="atLeast"/>
        <w:rPr>
          <w:rFonts w:cs="Arial"/>
          <w:sz w:val="20"/>
        </w:rPr>
      </w:pPr>
      <w:r w:rsidRPr="00993D07">
        <w:rPr>
          <w:rFonts w:cs="Arial"/>
          <w:sz w:val="20"/>
        </w:rPr>
        <w:t>T</w:t>
      </w:r>
      <w:r w:rsidR="0084501A" w:rsidRPr="00993D07">
        <w:rPr>
          <w:rFonts w:cs="Arial"/>
          <w:sz w:val="20"/>
        </w:rPr>
        <w:t xml:space="preserve">o establish </w:t>
      </w:r>
      <w:r w:rsidR="009254EF">
        <w:rPr>
          <w:rFonts w:cs="Arial"/>
          <w:sz w:val="20"/>
        </w:rPr>
        <w:t>an</w:t>
      </w:r>
      <w:r w:rsidR="0084501A" w:rsidRPr="00993D07">
        <w:rPr>
          <w:rFonts w:cs="Arial"/>
          <w:sz w:val="20"/>
        </w:rPr>
        <w:t xml:space="preserve"> accurate allocation methodology</w:t>
      </w:r>
      <w:r w:rsidRPr="00993D07">
        <w:rPr>
          <w:rFonts w:cs="Arial"/>
          <w:sz w:val="20"/>
        </w:rPr>
        <w:t xml:space="preserve"> for the 2013/2014 financial year, and being mindful of </w:t>
      </w:r>
      <w:r w:rsidR="00DB63A2" w:rsidRPr="00993D07">
        <w:rPr>
          <w:rFonts w:cs="Arial"/>
          <w:sz w:val="20"/>
        </w:rPr>
        <w:t>our</w:t>
      </w:r>
      <w:r w:rsidRPr="00993D07">
        <w:rPr>
          <w:rFonts w:cs="Arial"/>
          <w:sz w:val="20"/>
        </w:rPr>
        <w:t xml:space="preserve"> </w:t>
      </w:r>
      <w:r w:rsidR="007F3452" w:rsidRPr="00993D07">
        <w:rPr>
          <w:rFonts w:cs="Arial"/>
          <w:sz w:val="20"/>
        </w:rPr>
        <w:t xml:space="preserve">findings and </w:t>
      </w:r>
      <w:r w:rsidRPr="00993D07">
        <w:rPr>
          <w:rFonts w:cs="Arial"/>
          <w:sz w:val="20"/>
        </w:rPr>
        <w:t xml:space="preserve">report in </w:t>
      </w:r>
      <w:r w:rsidR="00A308D6" w:rsidRPr="00993D07">
        <w:rPr>
          <w:rFonts w:cs="Arial"/>
          <w:sz w:val="20"/>
        </w:rPr>
        <w:t>April</w:t>
      </w:r>
      <w:r w:rsidRPr="00993D07">
        <w:rPr>
          <w:rFonts w:cs="Arial"/>
          <w:sz w:val="20"/>
        </w:rPr>
        <w:t xml:space="preserve"> 2012</w:t>
      </w:r>
      <w:r w:rsidR="0084501A" w:rsidRPr="00993D07">
        <w:rPr>
          <w:rFonts w:cs="Arial"/>
          <w:sz w:val="20"/>
        </w:rPr>
        <w:t xml:space="preserve">, management </w:t>
      </w:r>
      <w:r w:rsidR="00787EBD" w:rsidRPr="00993D07">
        <w:rPr>
          <w:rFonts w:cs="Arial"/>
          <w:sz w:val="20"/>
        </w:rPr>
        <w:t>established a small working group to determine what approach would provide a high</w:t>
      </w:r>
      <w:r w:rsidR="00376DD6" w:rsidRPr="00993D07">
        <w:rPr>
          <w:rFonts w:cs="Arial"/>
          <w:sz w:val="20"/>
        </w:rPr>
        <w:t>er</w:t>
      </w:r>
      <w:r w:rsidR="00787EBD" w:rsidRPr="00993D07">
        <w:rPr>
          <w:rFonts w:cs="Arial"/>
          <w:sz w:val="20"/>
        </w:rPr>
        <w:t xml:space="preserve"> level of </w:t>
      </w:r>
      <w:r w:rsidR="00376DD6" w:rsidRPr="00993D07">
        <w:rPr>
          <w:rFonts w:cs="Arial"/>
          <w:sz w:val="20"/>
        </w:rPr>
        <w:t xml:space="preserve">quality </w:t>
      </w:r>
      <w:r w:rsidR="00787EBD" w:rsidRPr="00993D07">
        <w:rPr>
          <w:rFonts w:cs="Arial"/>
          <w:sz w:val="20"/>
        </w:rPr>
        <w:t xml:space="preserve">data to </w:t>
      </w:r>
      <w:r w:rsidR="009254EF">
        <w:rPr>
          <w:rFonts w:cs="Arial"/>
          <w:sz w:val="20"/>
        </w:rPr>
        <w:t>assure</w:t>
      </w:r>
      <w:r w:rsidR="009254EF" w:rsidRPr="00993D07">
        <w:rPr>
          <w:rFonts w:cs="Arial"/>
          <w:sz w:val="20"/>
        </w:rPr>
        <w:t xml:space="preserve"> </w:t>
      </w:r>
      <w:r w:rsidR="00787EBD" w:rsidRPr="00993D07">
        <w:rPr>
          <w:rFonts w:cs="Arial"/>
          <w:sz w:val="20"/>
        </w:rPr>
        <w:t>the acc</w:t>
      </w:r>
      <w:r w:rsidR="00427AA4" w:rsidRPr="00993D07">
        <w:rPr>
          <w:rFonts w:cs="Arial"/>
          <w:sz w:val="20"/>
        </w:rPr>
        <w:t>u</w:t>
      </w:r>
      <w:r w:rsidR="00787EBD" w:rsidRPr="00993D07">
        <w:rPr>
          <w:rFonts w:cs="Arial"/>
          <w:sz w:val="20"/>
        </w:rPr>
        <w:t>racy level of the allocation percentages while at the same time ensur</w:t>
      </w:r>
      <w:r w:rsidR="007F3452" w:rsidRPr="00993D07">
        <w:rPr>
          <w:rFonts w:cs="Arial"/>
          <w:sz w:val="20"/>
        </w:rPr>
        <w:t>ing</w:t>
      </w:r>
      <w:r w:rsidR="00787EBD" w:rsidRPr="00993D07">
        <w:rPr>
          <w:rFonts w:cs="Arial"/>
          <w:sz w:val="20"/>
        </w:rPr>
        <w:t xml:space="preserve"> that the approach did not place a heavy burden on AHPRA staff.</w:t>
      </w:r>
    </w:p>
    <w:p w:rsidR="00787EBD" w:rsidRPr="00993D07" w:rsidRDefault="00787EBD" w:rsidP="0084501A">
      <w:pPr>
        <w:pStyle w:val="DefaultText"/>
        <w:spacing w:line="260" w:lineRule="atLeast"/>
        <w:rPr>
          <w:rFonts w:cs="Arial"/>
          <w:sz w:val="20"/>
        </w:rPr>
      </w:pPr>
    </w:p>
    <w:p w:rsidR="00DB63A2" w:rsidRPr="00993D07" w:rsidRDefault="00787EBD" w:rsidP="0084501A">
      <w:pPr>
        <w:pStyle w:val="DefaultText"/>
        <w:spacing w:line="260" w:lineRule="atLeast"/>
        <w:rPr>
          <w:rFonts w:cs="Arial"/>
          <w:sz w:val="20"/>
        </w:rPr>
      </w:pPr>
      <w:r w:rsidRPr="00993D07">
        <w:rPr>
          <w:rFonts w:cs="Arial"/>
          <w:sz w:val="20"/>
        </w:rPr>
        <w:t xml:space="preserve">The working group, </w:t>
      </w:r>
      <w:r w:rsidR="009254EF">
        <w:rPr>
          <w:rFonts w:cs="Arial"/>
          <w:sz w:val="20"/>
        </w:rPr>
        <w:t>with advice from</w:t>
      </w:r>
      <w:r w:rsidRPr="00993D07">
        <w:rPr>
          <w:rFonts w:cs="Arial"/>
          <w:sz w:val="20"/>
        </w:rPr>
        <w:t xml:space="preserve"> Moore Stephens, agreed that a timesheet collation process was the most suitable method.  </w:t>
      </w:r>
    </w:p>
    <w:p w:rsidR="00DB63A2" w:rsidRPr="00993D07" w:rsidRDefault="00DB63A2" w:rsidP="0084501A">
      <w:pPr>
        <w:pStyle w:val="DefaultText"/>
        <w:spacing w:line="260" w:lineRule="atLeast"/>
        <w:rPr>
          <w:rFonts w:cs="Arial"/>
          <w:sz w:val="20"/>
        </w:rPr>
      </w:pPr>
    </w:p>
    <w:p w:rsidR="00787EBD" w:rsidRPr="00993D07" w:rsidRDefault="00787EBD" w:rsidP="0084501A">
      <w:pPr>
        <w:pStyle w:val="DefaultText"/>
        <w:spacing w:line="260" w:lineRule="atLeast"/>
        <w:rPr>
          <w:rFonts w:cs="Arial"/>
          <w:sz w:val="20"/>
        </w:rPr>
      </w:pPr>
      <w:r w:rsidRPr="00993D07">
        <w:rPr>
          <w:rFonts w:cs="Arial"/>
          <w:sz w:val="20"/>
        </w:rPr>
        <w:t>A timesheet data collation trial had previously been conducted in the Western Australian AHPRA office (in 2011) and the findings helped the management team in Western Australia better understand how and when resources were utilised in providing services to the Board</w:t>
      </w:r>
      <w:r w:rsidR="00376DD6" w:rsidRPr="00993D07">
        <w:rPr>
          <w:rFonts w:cs="Arial"/>
          <w:sz w:val="20"/>
        </w:rPr>
        <w:t>s</w:t>
      </w:r>
      <w:r w:rsidRPr="00993D07">
        <w:rPr>
          <w:rFonts w:cs="Arial"/>
          <w:sz w:val="20"/>
        </w:rPr>
        <w:t>.</w:t>
      </w:r>
    </w:p>
    <w:p w:rsidR="00787EBD" w:rsidRPr="00993D07" w:rsidRDefault="00787EBD" w:rsidP="0084501A">
      <w:pPr>
        <w:pStyle w:val="DefaultText"/>
        <w:spacing w:line="260" w:lineRule="atLeast"/>
        <w:rPr>
          <w:rFonts w:cs="Arial"/>
          <w:sz w:val="20"/>
        </w:rPr>
      </w:pPr>
    </w:p>
    <w:p w:rsidR="00D22C4C" w:rsidRPr="00993D07" w:rsidRDefault="00787EBD" w:rsidP="0088518C">
      <w:pPr>
        <w:pStyle w:val="DefaultText"/>
        <w:spacing w:line="260" w:lineRule="atLeast"/>
        <w:rPr>
          <w:rFonts w:cs="Arial"/>
          <w:sz w:val="20"/>
        </w:rPr>
      </w:pPr>
      <w:r w:rsidRPr="00993D07">
        <w:rPr>
          <w:rFonts w:cs="Arial"/>
          <w:sz w:val="20"/>
        </w:rPr>
        <w:t xml:space="preserve">Timesheet data collation, for the purposes of cost allocation </w:t>
      </w:r>
      <w:r w:rsidR="00376DD6" w:rsidRPr="00993D07">
        <w:rPr>
          <w:rFonts w:cs="Arial"/>
          <w:sz w:val="20"/>
        </w:rPr>
        <w:t xml:space="preserve">or ‘cost activity’ </w:t>
      </w:r>
      <w:r w:rsidRPr="00993D07">
        <w:rPr>
          <w:rFonts w:cs="Arial"/>
          <w:sz w:val="20"/>
        </w:rPr>
        <w:t>to a variety of essentially homogen</w:t>
      </w:r>
      <w:r w:rsidR="007F3452" w:rsidRPr="00993D07">
        <w:rPr>
          <w:rFonts w:cs="Arial"/>
          <w:sz w:val="20"/>
        </w:rPr>
        <w:t>e</w:t>
      </w:r>
      <w:r w:rsidRPr="00993D07">
        <w:rPr>
          <w:rFonts w:cs="Arial"/>
          <w:sz w:val="20"/>
        </w:rPr>
        <w:t>ous stakeholders, is particularly suited to the National Scheme.  The greatest cost passed on by AHPRA to the National Boards (</w:t>
      </w:r>
      <w:r w:rsidR="00AF727C" w:rsidRPr="00993D07">
        <w:rPr>
          <w:rFonts w:cs="Arial"/>
          <w:sz w:val="20"/>
        </w:rPr>
        <w:t>approximately 75</w:t>
      </w:r>
      <w:r w:rsidRPr="00993D07">
        <w:rPr>
          <w:rFonts w:cs="Arial"/>
          <w:sz w:val="20"/>
        </w:rPr>
        <w:t xml:space="preserve">%) is salary costs.  To provide more certainty with respect to these costs, capturing the actual time spent by staff in servicing each of the Boards, ensures that costs can be </w:t>
      </w:r>
      <w:r w:rsidR="009254EF">
        <w:rPr>
          <w:rFonts w:cs="Arial"/>
          <w:sz w:val="20"/>
        </w:rPr>
        <w:t>attributed</w:t>
      </w:r>
      <w:r w:rsidRPr="00993D07">
        <w:rPr>
          <w:rFonts w:cs="Arial"/>
          <w:sz w:val="20"/>
        </w:rPr>
        <w:t xml:space="preserve"> with a higher degree of accuracy.</w:t>
      </w:r>
    </w:p>
    <w:p w:rsidR="003B2F91" w:rsidRPr="00993D07" w:rsidRDefault="003B2F91" w:rsidP="00CC5F54">
      <w:pPr>
        <w:pStyle w:val="Heading1"/>
      </w:pPr>
      <w:bookmarkStart w:id="17" w:name="_Toc346891240"/>
      <w:r w:rsidRPr="00993D07">
        <w:t>Sample Methodology and Criteria</w:t>
      </w:r>
      <w:bookmarkEnd w:id="17"/>
    </w:p>
    <w:p w:rsidR="003B2F91" w:rsidRPr="00993D07" w:rsidRDefault="003B2F91" w:rsidP="00CC5F54">
      <w:pPr>
        <w:pStyle w:val="Heading2"/>
      </w:pPr>
      <w:bookmarkStart w:id="18" w:name="_Toc346891241"/>
      <w:r w:rsidRPr="00993D07">
        <w:t>Scope</w:t>
      </w:r>
      <w:bookmarkEnd w:id="18"/>
    </w:p>
    <w:p w:rsidR="00781A27" w:rsidRPr="00993D07" w:rsidRDefault="00781A27" w:rsidP="003B2F91">
      <w:pPr>
        <w:pStyle w:val="DefaultText"/>
        <w:spacing w:line="260" w:lineRule="atLeast"/>
        <w:rPr>
          <w:rFonts w:cs="Arial"/>
          <w:sz w:val="20"/>
        </w:rPr>
      </w:pPr>
      <w:r w:rsidRPr="00993D07">
        <w:rPr>
          <w:rFonts w:cs="Arial"/>
          <w:sz w:val="20"/>
        </w:rPr>
        <w:t xml:space="preserve">To achieve a valid sample of activity, a broad range of AHPRA staff was selected.  The selection comprised </w:t>
      </w:r>
      <w:r w:rsidR="00DB63A2" w:rsidRPr="00993D07">
        <w:rPr>
          <w:rFonts w:cs="Arial"/>
          <w:sz w:val="20"/>
        </w:rPr>
        <w:t xml:space="preserve">a sample of </w:t>
      </w:r>
      <w:r w:rsidRPr="00993D07">
        <w:rPr>
          <w:rFonts w:cs="Arial"/>
          <w:sz w:val="20"/>
        </w:rPr>
        <w:t xml:space="preserve">all </w:t>
      </w:r>
      <w:r w:rsidR="00FD1B44" w:rsidRPr="00993D07">
        <w:rPr>
          <w:rFonts w:cs="Arial"/>
          <w:sz w:val="20"/>
        </w:rPr>
        <w:t>s</w:t>
      </w:r>
      <w:r w:rsidRPr="00993D07">
        <w:rPr>
          <w:rFonts w:cs="Arial"/>
          <w:sz w:val="20"/>
        </w:rPr>
        <w:t xml:space="preserve">tate and </w:t>
      </w:r>
      <w:r w:rsidR="00FD1B44" w:rsidRPr="00993D07">
        <w:rPr>
          <w:rFonts w:cs="Arial"/>
          <w:sz w:val="20"/>
        </w:rPr>
        <w:t>t</w:t>
      </w:r>
      <w:r w:rsidRPr="00993D07">
        <w:rPr>
          <w:rFonts w:cs="Arial"/>
          <w:sz w:val="20"/>
        </w:rPr>
        <w:t xml:space="preserve">erritory offices with </w:t>
      </w:r>
      <w:r w:rsidR="00576E34" w:rsidRPr="00993D07">
        <w:rPr>
          <w:rFonts w:cs="Arial"/>
          <w:sz w:val="20"/>
        </w:rPr>
        <w:t xml:space="preserve">representative </w:t>
      </w:r>
      <w:r w:rsidRPr="00993D07">
        <w:rPr>
          <w:rFonts w:cs="Arial"/>
          <w:sz w:val="20"/>
        </w:rPr>
        <w:t>activities within those offices.</w:t>
      </w:r>
      <w:r w:rsidR="004254B6" w:rsidRPr="00993D07">
        <w:rPr>
          <w:rFonts w:cs="Arial"/>
          <w:sz w:val="20"/>
        </w:rPr>
        <w:t xml:space="preserve">  The activities selected were those directly involved with </w:t>
      </w:r>
      <w:r w:rsidR="00576E34" w:rsidRPr="00993D07">
        <w:rPr>
          <w:rFonts w:cs="Arial"/>
          <w:sz w:val="20"/>
        </w:rPr>
        <w:t xml:space="preserve">the provision of services to </w:t>
      </w:r>
      <w:r w:rsidR="00427AA4" w:rsidRPr="00993D07">
        <w:rPr>
          <w:rFonts w:cs="Arial"/>
          <w:sz w:val="20"/>
        </w:rPr>
        <w:t>B</w:t>
      </w:r>
      <w:r w:rsidR="004254B6" w:rsidRPr="00993D07">
        <w:rPr>
          <w:rFonts w:cs="Arial"/>
          <w:sz w:val="20"/>
        </w:rPr>
        <w:t>oards</w:t>
      </w:r>
      <w:r w:rsidR="00576E34" w:rsidRPr="00993D07">
        <w:rPr>
          <w:rFonts w:cs="Arial"/>
          <w:sz w:val="20"/>
        </w:rPr>
        <w:t xml:space="preserve"> (registrations, notifications, </w:t>
      </w:r>
      <w:r w:rsidR="00427AA4" w:rsidRPr="00993D07">
        <w:rPr>
          <w:rFonts w:cs="Arial"/>
          <w:sz w:val="20"/>
        </w:rPr>
        <w:t>B</w:t>
      </w:r>
      <w:r w:rsidR="00DB63A2" w:rsidRPr="00993D07">
        <w:rPr>
          <w:rFonts w:cs="Arial"/>
          <w:sz w:val="20"/>
        </w:rPr>
        <w:t>oard services and legal</w:t>
      </w:r>
      <w:r w:rsidR="00576E34" w:rsidRPr="00993D07">
        <w:rPr>
          <w:rFonts w:cs="Arial"/>
          <w:sz w:val="20"/>
        </w:rPr>
        <w:t>)</w:t>
      </w:r>
      <w:r w:rsidR="004254B6" w:rsidRPr="00993D07">
        <w:rPr>
          <w:rFonts w:cs="Arial"/>
          <w:sz w:val="20"/>
        </w:rPr>
        <w:t xml:space="preserve">.  </w:t>
      </w:r>
      <w:r w:rsidR="00E25A81" w:rsidRPr="00993D07">
        <w:rPr>
          <w:rFonts w:cs="Arial"/>
          <w:sz w:val="20"/>
        </w:rPr>
        <w:t xml:space="preserve">The activities and offices </w:t>
      </w:r>
      <w:r w:rsidR="00DB63A2" w:rsidRPr="00993D07">
        <w:rPr>
          <w:rFonts w:cs="Arial"/>
          <w:sz w:val="20"/>
        </w:rPr>
        <w:t xml:space="preserve">chosen for the sample </w:t>
      </w:r>
      <w:r w:rsidR="00E25A81" w:rsidRPr="00993D07">
        <w:rPr>
          <w:rFonts w:cs="Arial"/>
          <w:sz w:val="20"/>
        </w:rPr>
        <w:t>are shown in the table below.</w:t>
      </w:r>
    </w:p>
    <w:p w:rsidR="00781A27" w:rsidRPr="00993D07" w:rsidRDefault="00781A27" w:rsidP="003B2F91">
      <w:pPr>
        <w:pStyle w:val="DefaultText"/>
        <w:spacing w:line="260" w:lineRule="atLeast"/>
        <w:rPr>
          <w:rFonts w:cs="Arial"/>
          <w:sz w:val="22"/>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tblPr>
      <w:tblGrid>
        <w:gridCol w:w="2093"/>
        <w:gridCol w:w="1843"/>
        <w:gridCol w:w="1701"/>
        <w:gridCol w:w="1701"/>
        <w:gridCol w:w="1417"/>
      </w:tblGrid>
      <w:tr w:rsidR="005B566C" w:rsidRPr="00993D07" w:rsidTr="00CE4AAC">
        <w:tc>
          <w:tcPr>
            <w:tcW w:w="2093" w:type="dxa"/>
            <w:tcBorders>
              <w:top w:val="single" w:sz="4" w:space="0" w:color="00B0F0"/>
              <w:left w:val="single" w:sz="4" w:space="0" w:color="00B0F0"/>
              <w:bottom w:val="single" w:sz="4" w:space="0" w:color="00B0F0"/>
              <w:right w:val="single" w:sz="4" w:space="0" w:color="FFFFFF" w:themeColor="background1"/>
            </w:tcBorders>
            <w:shd w:val="clear" w:color="auto" w:fill="00B0F0"/>
            <w:vAlign w:val="center"/>
          </w:tcPr>
          <w:p w:rsidR="005B566C" w:rsidRPr="00993D07" w:rsidRDefault="005B566C" w:rsidP="00CE4AAC">
            <w:pPr>
              <w:pStyle w:val="DefaultText"/>
              <w:spacing w:before="60" w:line="260" w:lineRule="atLeast"/>
              <w:jc w:val="center"/>
              <w:rPr>
                <w:rFonts w:cs="Arial"/>
                <w:b/>
                <w:color w:val="FFFFFF" w:themeColor="background1"/>
                <w:sz w:val="20"/>
              </w:rPr>
            </w:pPr>
            <w:r w:rsidRPr="00993D07">
              <w:rPr>
                <w:rFonts w:cs="Arial"/>
                <w:b/>
                <w:color w:val="FFFFFF" w:themeColor="background1"/>
                <w:sz w:val="20"/>
              </w:rPr>
              <w:t>Office</w:t>
            </w:r>
          </w:p>
        </w:tc>
        <w:tc>
          <w:tcPr>
            <w:tcW w:w="1843" w:type="dxa"/>
            <w:tcBorders>
              <w:top w:val="single" w:sz="4" w:space="0" w:color="00B0F0"/>
              <w:left w:val="single" w:sz="4" w:space="0" w:color="FFFFFF" w:themeColor="background1"/>
              <w:bottom w:val="single" w:sz="4" w:space="0" w:color="00B0F0"/>
              <w:right w:val="single" w:sz="4" w:space="0" w:color="FFFFFF" w:themeColor="background1"/>
            </w:tcBorders>
            <w:shd w:val="clear" w:color="auto" w:fill="00B0F0"/>
            <w:vAlign w:val="center"/>
          </w:tcPr>
          <w:p w:rsidR="005B566C" w:rsidRPr="00993D07" w:rsidRDefault="005B566C" w:rsidP="00CE4AAC">
            <w:pPr>
              <w:pStyle w:val="DefaultText"/>
              <w:spacing w:before="60" w:line="260" w:lineRule="atLeast"/>
              <w:jc w:val="center"/>
              <w:rPr>
                <w:rFonts w:cs="Arial"/>
                <w:b/>
                <w:color w:val="FFFFFF" w:themeColor="background1"/>
                <w:sz w:val="20"/>
              </w:rPr>
            </w:pPr>
            <w:r w:rsidRPr="00993D07">
              <w:rPr>
                <w:rFonts w:cs="Arial"/>
                <w:b/>
                <w:color w:val="FFFFFF" w:themeColor="background1"/>
                <w:sz w:val="20"/>
              </w:rPr>
              <w:t>Registrations</w:t>
            </w:r>
          </w:p>
        </w:tc>
        <w:tc>
          <w:tcPr>
            <w:tcW w:w="1701" w:type="dxa"/>
            <w:tcBorders>
              <w:top w:val="single" w:sz="4" w:space="0" w:color="00B0F0"/>
              <w:left w:val="single" w:sz="4" w:space="0" w:color="FFFFFF" w:themeColor="background1"/>
              <w:bottom w:val="single" w:sz="4" w:space="0" w:color="00B0F0"/>
              <w:right w:val="single" w:sz="4" w:space="0" w:color="FFFFFF" w:themeColor="background1"/>
            </w:tcBorders>
            <w:shd w:val="clear" w:color="auto" w:fill="00B0F0"/>
            <w:vAlign w:val="center"/>
          </w:tcPr>
          <w:p w:rsidR="005B566C" w:rsidRPr="00993D07" w:rsidRDefault="005B566C" w:rsidP="00CE4AAC">
            <w:pPr>
              <w:pStyle w:val="DefaultText"/>
              <w:spacing w:before="60" w:line="260" w:lineRule="atLeast"/>
              <w:jc w:val="center"/>
              <w:rPr>
                <w:rFonts w:cs="Arial"/>
                <w:b/>
                <w:color w:val="FFFFFF" w:themeColor="background1"/>
                <w:sz w:val="20"/>
              </w:rPr>
            </w:pPr>
            <w:r w:rsidRPr="00993D07">
              <w:rPr>
                <w:rFonts w:cs="Arial"/>
                <w:b/>
                <w:color w:val="FFFFFF" w:themeColor="background1"/>
                <w:sz w:val="20"/>
              </w:rPr>
              <w:t>Notifications</w:t>
            </w:r>
          </w:p>
        </w:tc>
        <w:tc>
          <w:tcPr>
            <w:tcW w:w="1701" w:type="dxa"/>
            <w:tcBorders>
              <w:top w:val="single" w:sz="4" w:space="0" w:color="00B0F0"/>
              <w:left w:val="single" w:sz="4" w:space="0" w:color="FFFFFF" w:themeColor="background1"/>
              <w:bottom w:val="single" w:sz="4" w:space="0" w:color="00B0F0"/>
              <w:right w:val="single" w:sz="4" w:space="0" w:color="FFFFFF" w:themeColor="background1"/>
            </w:tcBorders>
            <w:shd w:val="clear" w:color="auto" w:fill="00B0F0"/>
            <w:vAlign w:val="center"/>
          </w:tcPr>
          <w:p w:rsidR="005B566C" w:rsidRPr="00993D07" w:rsidRDefault="005B566C" w:rsidP="00CE4AAC">
            <w:pPr>
              <w:pStyle w:val="DefaultText"/>
              <w:spacing w:before="60" w:line="260" w:lineRule="atLeast"/>
              <w:jc w:val="center"/>
              <w:rPr>
                <w:rFonts w:cs="Arial"/>
                <w:b/>
                <w:color w:val="FFFFFF" w:themeColor="background1"/>
                <w:sz w:val="20"/>
              </w:rPr>
            </w:pPr>
            <w:r w:rsidRPr="00993D07">
              <w:rPr>
                <w:rFonts w:cs="Arial"/>
                <w:b/>
                <w:color w:val="FFFFFF" w:themeColor="background1"/>
                <w:sz w:val="20"/>
              </w:rPr>
              <w:t>Board Services</w:t>
            </w:r>
          </w:p>
        </w:tc>
        <w:tc>
          <w:tcPr>
            <w:tcW w:w="1417" w:type="dxa"/>
            <w:tcBorders>
              <w:top w:val="single" w:sz="4" w:space="0" w:color="00B0F0"/>
              <w:left w:val="single" w:sz="4" w:space="0" w:color="FFFFFF" w:themeColor="background1"/>
              <w:bottom w:val="single" w:sz="4" w:space="0" w:color="00B0F0"/>
              <w:right w:val="nil"/>
            </w:tcBorders>
            <w:shd w:val="clear" w:color="auto" w:fill="00B0F0"/>
            <w:vAlign w:val="center"/>
          </w:tcPr>
          <w:p w:rsidR="005B566C" w:rsidRPr="00993D07" w:rsidRDefault="005B566C" w:rsidP="00CE4AAC">
            <w:pPr>
              <w:pStyle w:val="DefaultText"/>
              <w:spacing w:before="60" w:line="260" w:lineRule="atLeast"/>
              <w:jc w:val="center"/>
              <w:rPr>
                <w:rFonts w:cs="Arial"/>
                <w:b/>
                <w:color w:val="FFFFFF" w:themeColor="background1"/>
                <w:sz w:val="20"/>
              </w:rPr>
            </w:pPr>
            <w:r w:rsidRPr="00993D07">
              <w:rPr>
                <w:rFonts w:cs="Arial"/>
                <w:b/>
                <w:color w:val="FFFFFF" w:themeColor="background1"/>
                <w:sz w:val="20"/>
              </w:rPr>
              <w:t>Legal</w:t>
            </w:r>
          </w:p>
        </w:tc>
      </w:tr>
      <w:tr w:rsidR="005B566C" w:rsidRPr="00993D07" w:rsidTr="00630839">
        <w:tc>
          <w:tcPr>
            <w:tcW w:w="2093" w:type="dxa"/>
            <w:tcBorders>
              <w:top w:val="single" w:sz="4" w:space="0" w:color="00B0F0"/>
            </w:tcBorders>
            <w:shd w:val="clear" w:color="auto" w:fill="E5DFEC" w:themeFill="accent4" w:themeFillTint="33"/>
          </w:tcPr>
          <w:p w:rsidR="005B566C" w:rsidRPr="00993D07" w:rsidRDefault="005B566C" w:rsidP="001116E1">
            <w:pPr>
              <w:pStyle w:val="DefaultText"/>
              <w:spacing w:before="60" w:after="120" w:line="260" w:lineRule="atLeast"/>
              <w:rPr>
                <w:rFonts w:cs="Arial"/>
                <w:b/>
                <w:i/>
                <w:sz w:val="20"/>
              </w:rPr>
            </w:pPr>
            <w:r w:rsidRPr="00993D07">
              <w:rPr>
                <w:rFonts w:cs="Arial"/>
                <w:b/>
                <w:i/>
                <w:sz w:val="20"/>
              </w:rPr>
              <w:t>ACT</w:t>
            </w:r>
          </w:p>
        </w:tc>
        <w:tc>
          <w:tcPr>
            <w:tcW w:w="1843" w:type="dxa"/>
            <w:tcBorders>
              <w:top w:val="single" w:sz="4" w:space="0" w:color="00B0F0"/>
              <w:bottom w:val="single" w:sz="4" w:space="0" w:color="00B0F0"/>
            </w:tcBorders>
          </w:tcPr>
          <w:p w:rsidR="005B566C" w:rsidRPr="00993D07" w:rsidRDefault="005B566C" w:rsidP="005B566C">
            <w:pPr>
              <w:pStyle w:val="DefaultText"/>
              <w:spacing w:before="60" w:line="260" w:lineRule="atLeast"/>
              <w:jc w:val="center"/>
              <w:rPr>
                <w:rFonts w:cs="Arial"/>
                <w:sz w:val="20"/>
              </w:rPr>
            </w:pPr>
          </w:p>
        </w:tc>
        <w:tc>
          <w:tcPr>
            <w:tcW w:w="1701" w:type="dxa"/>
            <w:tcBorders>
              <w:top w:val="single" w:sz="4" w:space="0" w:color="00B0F0"/>
              <w:bottom w:val="single" w:sz="4" w:space="0" w:color="00B0F0"/>
            </w:tcBorders>
          </w:tcPr>
          <w:p w:rsidR="005B566C" w:rsidRPr="00993D07" w:rsidRDefault="005B566C" w:rsidP="005B566C">
            <w:pPr>
              <w:pStyle w:val="DefaultText"/>
              <w:spacing w:before="60" w:line="260" w:lineRule="atLeast"/>
              <w:jc w:val="center"/>
              <w:rPr>
                <w:rFonts w:cs="Arial"/>
                <w:sz w:val="20"/>
              </w:rPr>
            </w:pPr>
            <w:r w:rsidRPr="00993D07">
              <w:rPr>
                <w:rFonts w:cs="Arial"/>
                <w:sz w:val="20"/>
              </w:rPr>
              <w:t>Yes</w:t>
            </w:r>
          </w:p>
        </w:tc>
        <w:tc>
          <w:tcPr>
            <w:tcW w:w="1701" w:type="dxa"/>
            <w:tcBorders>
              <w:top w:val="single" w:sz="4" w:space="0" w:color="00B0F0"/>
              <w:bottom w:val="single" w:sz="4" w:space="0" w:color="00B0F0"/>
            </w:tcBorders>
          </w:tcPr>
          <w:p w:rsidR="005B566C" w:rsidRPr="00993D07" w:rsidRDefault="005B566C" w:rsidP="005B566C">
            <w:pPr>
              <w:pStyle w:val="DefaultText"/>
              <w:spacing w:before="60" w:line="260" w:lineRule="atLeast"/>
              <w:jc w:val="center"/>
              <w:rPr>
                <w:rFonts w:cs="Arial"/>
                <w:sz w:val="20"/>
              </w:rPr>
            </w:pPr>
          </w:p>
        </w:tc>
        <w:tc>
          <w:tcPr>
            <w:tcW w:w="1417" w:type="dxa"/>
            <w:tcBorders>
              <w:top w:val="single" w:sz="4" w:space="0" w:color="00B0F0"/>
              <w:bottom w:val="single" w:sz="4" w:space="0" w:color="00B0F0"/>
            </w:tcBorders>
          </w:tcPr>
          <w:p w:rsidR="005B566C" w:rsidRPr="00993D07" w:rsidRDefault="005B566C" w:rsidP="005B566C">
            <w:pPr>
              <w:pStyle w:val="DefaultText"/>
              <w:spacing w:before="60" w:line="260" w:lineRule="atLeast"/>
              <w:jc w:val="center"/>
              <w:rPr>
                <w:rFonts w:cs="Arial"/>
                <w:sz w:val="20"/>
              </w:rPr>
            </w:pPr>
          </w:p>
        </w:tc>
      </w:tr>
      <w:tr w:rsidR="005B566C" w:rsidRPr="00993D07" w:rsidTr="00630839">
        <w:tc>
          <w:tcPr>
            <w:tcW w:w="2093" w:type="dxa"/>
            <w:shd w:val="clear" w:color="auto" w:fill="E5DFEC" w:themeFill="accent4" w:themeFillTint="33"/>
          </w:tcPr>
          <w:p w:rsidR="005B566C" w:rsidRPr="00993D07" w:rsidRDefault="005B566C" w:rsidP="001116E1">
            <w:pPr>
              <w:pStyle w:val="DefaultText"/>
              <w:spacing w:before="60" w:after="120" w:line="260" w:lineRule="atLeast"/>
              <w:rPr>
                <w:rFonts w:cs="Arial"/>
                <w:b/>
                <w:i/>
                <w:sz w:val="20"/>
              </w:rPr>
            </w:pPr>
            <w:r w:rsidRPr="00993D07">
              <w:rPr>
                <w:rFonts w:cs="Arial"/>
                <w:b/>
                <w:i/>
                <w:sz w:val="20"/>
              </w:rPr>
              <w:t>Tasmania</w:t>
            </w:r>
          </w:p>
        </w:tc>
        <w:tc>
          <w:tcPr>
            <w:tcW w:w="1843" w:type="dxa"/>
            <w:tcBorders>
              <w:top w:val="single" w:sz="4" w:space="0" w:color="00B0F0"/>
            </w:tcBorders>
          </w:tcPr>
          <w:p w:rsidR="005B566C" w:rsidRPr="00993D07" w:rsidRDefault="005B566C" w:rsidP="005B566C">
            <w:pPr>
              <w:pStyle w:val="DefaultText"/>
              <w:spacing w:before="60" w:line="260" w:lineRule="atLeast"/>
              <w:jc w:val="center"/>
              <w:rPr>
                <w:rFonts w:cs="Arial"/>
                <w:sz w:val="20"/>
              </w:rPr>
            </w:pPr>
          </w:p>
        </w:tc>
        <w:tc>
          <w:tcPr>
            <w:tcW w:w="1701" w:type="dxa"/>
            <w:tcBorders>
              <w:top w:val="single" w:sz="4" w:space="0" w:color="00B0F0"/>
            </w:tcBorders>
          </w:tcPr>
          <w:p w:rsidR="005B566C" w:rsidRPr="00993D07" w:rsidRDefault="005B566C" w:rsidP="005B566C">
            <w:pPr>
              <w:pStyle w:val="DefaultText"/>
              <w:spacing w:before="60" w:line="260" w:lineRule="atLeast"/>
              <w:jc w:val="center"/>
              <w:rPr>
                <w:rFonts w:cs="Arial"/>
                <w:sz w:val="20"/>
              </w:rPr>
            </w:pPr>
            <w:r w:rsidRPr="00993D07">
              <w:rPr>
                <w:rFonts w:cs="Arial"/>
                <w:sz w:val="20"/>
              </w:rPr>
              <w:t>Yes</w:t>
            </w:r>
          </w:p>
        </w:tc>
        <w:tc>
          <w:tcPr>
            <w:tcW w:w="1701" w:type="dxa"/>
            <w:tcBorders>
              <w:top w:val="single" w:sz="4" w:space="0" w:color="00B0F0"/>
            </w:tcBorders>
          </w:tcPr>
          <w:p w:rsidR="005B566C" w:rsidRPr="00993D07" w:rsidRDefault="005B566C" w:rsidP="005B566C">
            <w:pPr>
              <w:pStyle w:val="DefaultText"/>
              <w:spacing w:before="60" w:line="260" w:lineRule="atLeast"/>
              <w:jc w:val="center"/>
              <w:rPr>
                <w:rFonts w:cs="Arial"/>
                <w:sz w:val="20"/>
              </w:rPr>
            </w:pPr>
          </w:p>
        </w:tc>
        <w:tc>
          <w:tcPr>
            <w:tcW w:w="1417" w:type="dxa"/>
            <w:tcBorders>
              <w:top w:val="single" w:sz="4" w:space="0" w:color="00B0F0"/>
            </w:tcBorders>
          </w:tcPr>
          <w:p w:rsidR="005B566C" w:rsidRPr="00993D07" w:rsidRDefault="005B566C" w:rsidP="005B566C">
            <w:pPr>
              <w:pStyle w:val="DefaultText"/>
              <w:spacing w:before="60" w:line="260" w:lineRule="atLeast"/>
              <w:jc w:val="center"/>
              <w:rPr>
                <w:rFonts w:cs="Arial"/>
                <w:sz w:val="20"/>
              </w:rPr>
            </w:pPr>
          </w:p>
        </w:tc>
      </w:tr>
      <w:tr w:rsidR="005B566C" w:rsidRPr="00993D07" w:rsidTr="00630839">
        <w:tc>
          <w:tcPr>
            <w:tcW w:w="2093" w:type="dxa"/>
            <w:shd w:val="clear" w:color="auto" w:fill="E5DFEC" w:themeFill="accent4" w:themeFillTint="33"/>
          </w:tcPr>
          <w:p w:rsidR="005B566C" w:rsidRPr="00993D07" w:rsidRDefault="005B566C" w:rsidP="001116E1">
            <w:pPr>
              <w:pStyle w:val="DefaultText"/>
              <w:spacing w:before="60" w:after="120" w:line="260" w:lineRule="atLeast"/>
              <w:rPr>
                <w:rFonts w:cs="Arial"/>
                <w:b/>
                <w:i/>
                <w:sz w:val="20"/>
              </w:rPr>
            </w:pPr>
            <w:r w:rsidRPr="00993D07">
              <w:rPr>
                <w:rFonts w:cs="Arial"/>
                <w:b/>
                <w:i/>
                <w:sz w:val="20"/>
              </w:rPr>
              <w:t>Northern Territory</w:t>
            </w:r>
          </w:p>
        </w:tc>
        <w:tc>
          <w:tcPr>
            <w:tcW w:w="1843" w:type="dxa"/>
          </w:tcPr>
          <w:p w:rsidR="005B566C" w:rsidRPr="00993D07" w:rsidRDefault="005B566C" w:rsidP="005B566C">
            <w:pPr>
              <w:pStyle w:val="DefaultText"/>
              <w:spacing w:before="60" w:line="260" w:lineRule="atLeast"/>
              <w:jc w:val="center"/>
              <w:rPr>
                <w:rFonts w:cs="Arial"/>
                <w:sz w:val="20"/>
              </w:rPr>
            </w:pPr>
          </w:p>
        </w:tc>
        <w:tc>
          <w:tcPr>
            <w:tcW w:w="1701" w:type="dxa"/>
          </w:tcPr>
          <w:p w:rsidR="005B566C" w:rsidRPr="00993D07" w:rsidRDefault="005B566C" w:rsidP="005B566C">
            <w:pPr>
              <w:pStyle w:val="DefaultText"/>
              <w:spacing w:before="60" w:line="260" w:lineRule="atLeast"/>
              <w:jc w:val="center"/>
              <w:rPr>
                <w:rFonts w:cs="Arial"/>
                <w:sz w:val="20"/>
              </w:rPr>
            </w:pPr>
            <w:r w:rsidRPr="00993D07">
              <w:rPr>
                <w:rFonts w:cs="Arial"/>
                <w:sz w:val="20"/>
              </w:rPr>
              <w:t>Yes</w:t>
            </w:r>
          </w:p>
        </w:tc>
        <w:tc>
          <w:tcPr>
            <w:tcW w:w="1701" w:type="dxa"/>
          </w:tcPr>
          <w:p w:rsidR="005B566C" w:rsidRPr="00993D07" w:rsidRDefault="005B566C" w:rsidP="005B566C">
            <w:pPr>
              <w:pStyle w:val="DefaultText"/>
              <w:spacing w:before="60" w:line="260" w:lineRule="atLeast"/>
              <w:jc w:val="center"/>
              <w:rPr>
                <w:rFonts w:cs="Arial"/>
                <w:sz w:val="20"/>
              </w:rPr>
            </w:pPr>
          </w:p>
        </w:tc>
        <w:tc>
          <w:tcPr>
            <w:tcW w:w="1417" w:type="dxa"/>
          </w:tcPr>
          <w:p w:rsidR="005B566C" w:rsidRPr="00993D07" w:rsidRDefault="005B566C" w:rsidP="005B566C">
            <w:pPr>
              <w:pStyle w:val="DefaultText"/>
              <w:spacing w:before="60" w:line="260" w:lineRule="atLeast"/>
              <w:jc w:val="center"/>
              <w:rPr>
                <w:rFonts w:cs="Arial"/>
                <w:sz w:val="20"/>
              </w:rPr>
            </w:pPr>
          </w:p>
        </w:tc>
      </w:tr>
      <w:tr w:rsidR="005B566C" w:rsidRPr="00993D07" w:rsidTr="00630839">
        <w:tc>
          <w:tcPr>
            <w:tcW w:w="2093" w:type="dxa"/>
            <w:shd w:val="clear" w:color="auto" w:fill="E5DFEC" w:themeFill="accent4" w:themeFillTint="33"/>
          </w:tcPr>
          <w:p w:rsidR="005B566C" w:rsidRPr="00993D07" w:rsidRDefault="005B566C" w:rsidP="001116E1">
            <w:pPr>
              <w:pStyle w:val="DefaultText"/>
              <w:spacing w:before="60" w:after="120" w:line="260" w:lineRule="atLeast"/>
              <w:rPr>
                <w:rFonts w:cs="Arial"/>
                <w:b/>
                <w:i/>
                <w:sz w:val="20"/>
              </w:rPr>
            </w:pPr>
            <w:r w:rsidRPr="00993D07">
              <w:rPr>
                <w:rFonts w:cs="Arial"/>
                <w:b/>
                <w:i/>
                <w:sz w:val="20"/>
              </w:rPr>
              <w:t>South Australia</w:t>
            </w:r>
          </w:p>
        </w:tc>
        <w:tc>
          <w:tcPr>
            <w:tcW w:w="1843" w:type="dxa"/>
          </w:tcPr>
          <w:p w:rsidR="005B566C" w:rsidRPr="00993D07" w:rsidRDefault="005B566C" w:rsidP="005B566C">
            <w:pPr>
              <w:pStyle w:val="DefaultText"/>
              <w:spacing w:before="60" w:line="260" w:lineRule="atLeast"/>
              <w:jc w:val="center"/>
              <w:rPr>
                <w:rFonts w:cs="Arial"/>
                <w:sz w:val="20"/>
              </w:rPr>
            </w:pPr>
          </w:p>
        </w:tc>
        <w:tc>
          <w:tcPr>
            <w:tcW w:w="1701" w:type="dxa"/>
          </w:tcPr>
          <w:p w:rsidR="005B566C" w:rsidRPr="00993D07" w:rsidRDefault="005B566C" w:rsidP="005B566C">
            <w:pPr>
              <w:pStyle w:val="DefaultText"/>
              <w:spacing w:before="60" w:line="260" w:lineRule="atLeast"/>
              <w:jc w:val="center"/>
              <w:rPr>
                <w:rFonts w:cs="Arial"/>
                <w:sz w:val="20"/>
              </w:rPr>
            </w:pPr>
            <w:r w:rsidRPr="00993D07">
              <w:rPr>
                <w:rFonts w:cs="Arial"/>
                <w:sz w:val="20"/>
              </w:rPr>
              <w:t>Yes</w:t>
            </w:r>
          </w:p>
        </w:tc>
        <w:tc>
          <w:tcPr>
            <w:tcW w:w="1701" w:type="dxa"/>
          </w:tcPr>
          <w:p w:rsidR="005B566C" w:rsidRPr="00993D07" w:rsidRDefault="005B566C" w:rsidP="005B566C">
            <w:pPr>
              <w:pStyle w:val="DefaultText"/>
              <w:spacing w:before="60" w:line="260" w:lineRule="atLeast"/>
              <w:jc w:val="center"/>
              <w:rPr>
                <w:rFonts w:cs="Arial"/>
                <w:sz w:val="20"/>
              </w:rPr>
            </w:pPr>
          </w:p>
        </w:tc>
        <w:tc>
          <w:tcPr>
            <w:tcW w:w="1417" w:type="dxa"/>
          </w:tcPr>
          <w:p w:rsidR="005B566C" w:rsidRPr="00993D07" w:rsidRDefault="005B566C" w:rsidP="005B566C">
            <w:pPr>
              <w:pStyle w:val="DefaultText"/>
              <w:spacing w:before="60" w:line="260" w:lineRule="atLeast"/>
              <w:jc w:val="center"/>
              <w:rPr>
                <w:rFonts w:cs="Arial"/>
                <w:sz w:val="20"/>
              </w:rPr>
            </w:pPr>
            <w:r w:rsidRPr="00993D07">
              <w:rPr>
                <w:rFonts w:cs="Arial"/>
                <w:sz w:val="20"/>
              </w:rPr>
              <w:t>Yes</w:t>
            </w:r>
          </w:p>
        </w:tc>
      </w:tr>
      <w:tr w:rsidR="005B566C" w:rsidRPr="00993D07" w:rsidTr="00630839">
        <w:tc>
          <w:tcPr>
            <w:tcW w:w="2093" w:type="dxa"/>
            <w:shd w:val="clear" w:color="auto" w:fill="E5DFEC" w:themeFill="accent4" w:themeFillTint="33"/>
          </w:tcPr>
          <w:p w:rsidR="005B566C" w:rsidRPr="00993D07" w:rsidRDefault="005B566C" w:rsidP="001116E1">
            <w:pPr>
              <w:pStyle w:val="DefaultText"/>
              <w:spacing w:before="60" w:after="120" w:line="260" w:lineRule="atLeast"/>
              <w:rPr>
                <w:rFonts w:cs="Arial"/>
                <w:b/>
                <w:i/>
                <w:sz w:val="20"/>
              </w:rPr>
            </w:pPr>
            <w:r w:rsidRPr="00993D07">
              <w:rPr>
                <w:rFonts w:cs="Arial"/>
                <w:b/>
                <w:i/>
                <w:sz w:val="20"/>
              </w:rPr>
              <w:t>Western Australia</w:t>
            </w:r>
          </w:p>
        </w:tc>
        <w:tc>
          <w:tcPr>
            <w:tcW w:w="1843" w:type="dxa"/>
          </w:tcPr>
          <w:p w:rsidR="005B566C" w:rsidRPr="00993D07" w:rsidRDefault="005B566C" w:rsidP="005B566C">
            <w:pPr>
              <w:pStyle w:val="DefaultText"/>
              <w:spacing w:before="60" w:line="260" w:lineRule="atLeast"/>
              <w:jc w:val="center"/>
              <w:rPr>
                <w:rFonts w:cs="Arial"/>
                <w:sz w:val="20"/>
              </w:rPr>
            </w:pPr>
            <w:r w:rsidRPr="00993D07">
              <w:rPr>
                <w:rFonts w:cs="Arial"/>
                <w:sz w:val="20"/>
              </w:rPr>
              <w:t>Yes</w:t>
            </w:r>
          </w:p>
        </w:tc>
        <w:tc>
          <w:tcPr>
            <w:tcW w:w="1701" w:type="dxa"/>
          </w:tcPr>
          <w:p w:rsidR="005B566C" w:rsidRPr="00993D07" w:rsidRDefault="005B566C" w:rsidP="005B566C">
            <w:pPr>
              <w:pStyle w:val="DefaultText"/>
              <w:spacing w:before="60" w:line="260" w:lineRule="atLeast"/>
              <w:jc w:val="center"/>
              <w:rPr>
                <w:rFonts w:cs="Arial"/>
                <w:sz w:val="20"/>
              </w:rPr>
            </w:pPr>
            <w:r w:rsidRPr="00993D07">
              <w:rPr>
                <w:rFonts w:cs="Arial"/>
                <w:sz w:val="20"/>
              </w:rPr>
              <w:t>Yes</w:t>
            </w:r>
          </w:p>
        </w:tc>
        <w:tc>
          <w:tcPr>
            <w:tcW w:w="1701" w:type="dxa"/>
          </w:tcPr>
          <w:p w:rsidR="005B566C" w:rsidRPr="00993D07" w:rsidRDefault="005B566C" w:rsidP="005B566C">
            <w:pPr>
              <w:pStyle w:val="DefaultText"/>
              <w:spacing w:before="60" w:line="260" w:lineRule="atLeast"/>
              <w:jc w:val="center"/>
              <w:rPr>
                <w:rFonts w:cs="Arial"/>
                <w:sz w:val="20"/>
              </w:rPr>
            </w:pPr>
            <w:r w:rsidRPr="00993D07">
              <w:rPr>
                <w:rFonts w:cs="Arial"/>
                <w:sz w:val="20"/>
              </w:rPr>
              <w:t>Yes</w:t>
            </w:r>
          </w:p>
        </w:tc>
        <w:tc>
          <w:tcPr>
            <w:tcW w:w="1417" w:type="dxa"/>
          </w:tcPr>
          <w:p w:rsidR="005B566C" w:rsidRPr="00993D07" w:rsidRDefault="005B566C" w:rsidP="005B566C">
            <w:pPr>
              <w:pStyle w:val="DefaultText"/>
              <w:spacing w:before="60" w:line="260" w:lineRule="atLeast"/>
              <w:jc w:val="center"/>
              <w:rPr>
                <w:rFonts w:cs="Arial"/>
                <w:sz w:val="20"/>
              </w:rPr>
            </w:pPr>
            <w:r w:rsidRPr="00993D07">
              <w:rPr>
                <w:rFonts w:cs="Arial"/>
                <w:sz w:val="20"/>
              </w:rPr>
              <w:t>Yes</w:t>
            </w:r>
          </w:p>
        </w:tc>
      </w:tr>
      <w:tr w:rsidR="005B566C" w:rsidRPr="00993D07" w:rsidTr="00630839">
        <w:tc>
          <w:tcPr>
            <w:tcW w:w="2093" w:type="dxa"/>
            <w:shd w:val="clear" w:color="auto" w:fill="E5DFEC" w:themeFill="accent4" w:themeFillTint="33"/>
          </w:tcPr>
          <w:p w:rsidR="005B566C" w:rsidRPr="00993D07" w:rsidRDefault="004B3C5C" w:rsidP="004B3C5C">
            <w:pPr>
              <w:pStyle w:val="DefaultText"/>
              <w:tabs>
                <w:tab w:val="right" w:pos="1877"/>
              </w:tabs>
              <w:spacing w:before="60" w:after="120" w:line="260" w:lineRule="atLeast"/>
              <w:rPr>
                <w:rFonts w:cs="Arial"/>
                <w:b/>
                <w:i/>
                <w:sz w:val="20"/>
              </w:rPr>
            </w:pPr>
            <w:r w:rsidRPr="00993D07">
              <w:rPr>
                <w:rFonts w:cs="Arial"/>
                <w:b/>
                <w:i/>
                <w:sz w:val="20"/>
              </w:rPr>
              <w:t>New South Wales</w:t>
            </w:r>
          </w:p>
        </w:tc>
        <w:tc>
          <w:tcPr>
            <w:tcW w:w="1843" w:type="dxa"/>
          </w:tcPr>
          <w:p w:rsidR="005B566C" w:rsidRPr="00993D07" w:rsidRDefault="005B566C" w:rsidP="005B566C">
            <w:pPr>
              <w:pStyle w:val="DefaultText"/>
              <w:spacing w:before="60" w:line="260" w:lineRule="atLeast"/>
              <w:jc w:val="center"/>
              <w:rPr>
                <w:rFonts w:cs="Arial"/>
                <w:sz w:val="20"/>
              </w:rPr>
            </w:pPr>
            <w:r w:rsidRPr="00993D07">
              <w:rPr>
                <w:rFonts w:cs="Arial"/>
                <w:sz w:val="20"/>
              </w:rPr>
              <w:t>Yes</w:t>
            </w:r>
          </w:p>
        </w:tc>
        <w:tc>
          <w:tcPr>
            <w:tcW w:w="1701" w:type="dxa"/>
          </w:tcPr>
          <w:p w:rsidR="005B566C" w:rsidRPr="00993D07" w:rsidRDefault="005B566C" w:rsidP="005B566C">
            <w:pPr>
              <w:pStyle w:val="DefaultText"/>
              <w:spacing w:before="60" w:line="260" w:lineRule="atLeast"/>
              <w:jc w:val="center"/>
              <w:rPr>
                <w:rFonts w:cs="Arial"/>
                <w:sz w:val="20"/>
              </w:rPr>
            </w:pPr>
          </w:p>
        </w:tc>
        <w:tc>
          <w:tcPr>
            <w:tcW w:w="1701" w:type="dxa"/>
          </w:tcPr>
          <w:p w:rsidR="005B566C" w:rsidRPr="00993D07" w:rsidRDefault="005B566C" w:rsidP="005B566C">
            <w:pPr>
              <w:pStyle w:val="DefaultText"/>
              <w:spacing w:before="60" w:line="260" w:lineRule="atLeast"/>
              <w:jc w:val="center"/>
              <w:rPr>
                <w:rFonts w:cs="Arial"/>
                <w:sz w:val="20"/>
              </w:rPr>
            </w:pPr>
          </w:p>
        </w:tc>
        <w:tc>
          <w:tcPr>
            <w:tcW w:w="1417" w:type="dxa"/>
          </w:tcPr>
          <w:p w:rsidR="005B566C" w:rsidRPr="00993D07" w:rsidRDefault="005B566C" w:rsidP="005B566C">
            <w:pPr>
              <w:pStyle w:val="DefaultText"/>
              <w:spacing w:before="60" w:line="260" w:lineRule="atLeast"/>
              <w:jc w:val="center"/>
              <w:rPr>
                <w:rFonts w:cs="Arial"/>
                <w:sz w:val="20"/>
              </w:rPr>
            </w:pPr>
          </w:p>
        </w:tc>
      </w:tr>
      <w:tr w:rsidR="005B566C" w:rsidRPr="00993D07" w:rsidTr="00630839">
        <w:tc>
          <w:tcPr>
            <w:tcW w:w="2093" w:type="dxa"/>
            <w:shd w:val="clear" w:color="auto" w:fill="E5DFEC" w:themeFill="accent4" w:themeFillTint="33"/>
          </w:tcPr>
          <w:p w:rsidR="005B566C" w:rsidRPr="00993D07" w:rsidRDefault="005B566C" w:rsidP="001116E1">
            <w:pPr>
              <w:pStyle w:val="DefaultText"/>
              <w:spacing w:before="60" w:after="120" w:line="260" w:lineRule="atLeast"/>
              <w:rPr>
                <w:rFonts w:cs="Arial"/>
                <w:b/>
                <w:i/>
                <w:sz w:val="20"/>
              </w:rPr>
            </w:pPr>
            <w:r w:rsidRPr="00993D07">
              <w:rPr>
                <w:rFonts w:cs="Arial"/>
                <w:b/>
                <w:i/>
                <w:sz w:val="20"/>
              </w:rPr>
              <w:t>Queensland</w:t>
            </w:r>
          </w:p>
        </w:tc>
        <w:tc>
          <w:tcPr>
            <w:tcW w:w="1843" w:type="dxa"/>
          </w:tcPr>
          <w:p w:rsidR="005B566C" w:rsidRPr="00993D07" w:rsidRDefault="005B566C" w:rsidP="005B566C">
            <w:pPr>
              <w:pStyle w:val="DefaultText"/>
              <w:spacing w:before="60" w:line="260" w:lineRule="atLeast"/>
              <w:jc w:val="center"/>
              <w:rPr>
                <w:rFonts w:cs="Arial"/>
                <w:sz w:val="20"/>
              </w:rPr>
            </w:pPr>
            <w:r w:rsidRPr="00993D07">
              <w:rPr>
                <w:rFonts w:cs="Arial"/>
                <w:sz w:val="20"/>
              </w:rPr>
              <w:t>Yes</w:t>
            </w:r>
          </w:p>
        </w:tc>
        <w:tc>
          <w:tcPr>
            <w:tcW w:w="1701" w:type="dxa"/>
          </w:tcPr>
          <w:p w:rsidR="005B566C" w:rsidRPr="00993D07" w:rsidRDefault="005B566C" w:rsidP="005B566C">
            <w:pPr>
              <w:pStyle w:val="DefaultText"/>
              <w:spacing w:before="60" w:line="260" w:lineRule="atLeast"/>
              <w:jc w:val="center"/>
              <w:rPr>
                <w:rFonts w:cs="Arial"/>
                <w:sz w:val="20"/>
              </w:rPr>
            </w:pPr>
          </w:p>
        </w:tc>
        <w:tc>
          <w:tcPr>
            <w:tcW w:w="1701" w:type="dxa"/>
          </w:tcPr>
          <w:p w:rsidR="005B566C" w:rsidRPr="00993D07" w:rsidRDefault="005B566C" w:rsidP="005B566C">
            <w:pPr>
              <w:pStyle w:val="DefaultText"/>
              <w:spacing w:before="60" w:line="260" w:lineRule="atLeast"/>
              <w:jc w:val="center"/>
              <w:rPr>
                <w:rFonts w:cs="Arial"/>
                <w:sz w:val="20"/>
              </w:rPr>
            </w:pPr>
            <w:r w:rsidRPr="00993D07">
              <w:rPr>
                <w:rFonts w:cs="Arial"/>
                <w:sz w:val="20"/>
              </w:rPr>
              <w:t>Yes</w:t>
            </w:r>
          </w:p>
        </w:tc>
        <w:tc>
          <w:tcPr>
            <w:tcW w:w="1417" w:type="dxa"/>
          </w:tcPr>
          <w:p w:rsidR="005B566C" w:rsidRPr="00993D07" w:rsidRDefault="005B566C" w:rsidP="005B566C">
            <w:pPr>
              <w:pStyle w:val="DefaultText"/>
              <w:spacing w:before="60" w:line="260" w:lineRule="atLeast"/>
              <w:jc w:val="center"/>
              <w:rPr>
                <w:rFonts w:cs="Arial"/>
                <w:sz w:val="20"/>
              </w:rPr>
            </w:pPr>
            <w:r w:rsidRPr="00993D07">
              <w:rPr>
                <w:rFonts w:cs="Arial"/>
                <w:sz w:val="20"/>
              </w:rPr>
              <w:t>Yes</w:t>
            </w:r>
          </w:p>
        </w:tc>
      </w:tr>
      <w:tr w:rsidR="005B566C" w:rsidRPr="00993D07" w:rsidTr="00630839">
        <w:tc>
          <w:tcPr>
            <w:tcW w:w="2093" w:type="dxa"/>
            <w:shd w:val="clear" w:color="auto" w:fill="E5DFEC" w:themeFill="accent4" w:themeFillTint="33"/>
          </w:tcPr>
          <w:p w:rsidR="005B566C" w:rsidRPr="00993D07" w:rsidRDefault="005B566C" w:rsidP="001116E1">
            <w:pPr>
              <w:pStyle w:val="DefaultText"/>
              <w:spacing w:before="60" w:after="120" w:line="260" w:lineRule="atLeast"/>
              <w:rPr>
                <w:rFonts w:cs="Arial"/>
                <w:b/>
                <w:i/>
                <w:sz w:val="20"/>
              </w:rPr>
            </w:pPr>
            <w:r w:rsidRPr="00993D07">
              <w:rPr>
                <w:rFonts w:cs="Arial"/>
                <w:b/>
                <w:i/>
                <w:sz w:val="20"/>
              </w:rPr>
              <w:t>Victoria</w:t>
            </w:r>
          </w:p>
        </w:tc>
        <w:tc>
          <w:tcPr>
            <w:tcW w:w="1843" w:type="dxa"/>
          </w:tcPr>
          <w:p w:rsidR="005B566C" w:rsidRPr="00993D07" w:rsidRDefault="005B566C" w:rsidP="005B566C">
            <w:pPr>
              <w:pStyle w:val="DefaultText"/>
              <w:spacing w:before="60" w:line="260" w:lineRule="atLeast"/>
              <w:jc w:val="center"/>
              <w:rPr>
                <w:rFonts w:cs="Arial"/>
                <w:sz w:val="20"/>
              </w:rPr>
            </w:pPr>
            <w:r w:rsidRPr="00993D07">
              <w:rPr>
                <w:rFonts w:cs="Arial"/>
                <w:sz w:val="20"/>
              </w:rPr>
              <w:t>Yes</w:t>
            </w:r>
          </w:p>
        </w:tc>
        <w:tc>
          <w:tcPr>
            <w:tcW w:w="1701" w:type="dxa"/>
          </w:tcPr>
          <w:p w:rsidR="005B566C" w:rsidRPr="00993D07" w:rsidRDefault="005B566C" w:rsidP="005B566C">
            <w:pPr>
              <w:pStyle w:val="DefaultText"/>
              <w:spacing w:before="60" w:line="260" w:lineRule="atLeast"/>
              <w:jc w:val="center"/>
              <w:rPr>
                <w:rFonts w:cs="Arial"/>
                <w:sz w:val="20"/>
              </w:rPr>
            </w:pPr>
            <w:r w:rsidRPr="00993D07">
              <w:rPr>
                <w:rFonts w:cs="Arial"/>
                <w:sz w:val="20"/>
              </w:rPr>
              <w:t>Yes</w:t>
            </w:r>
          </w:p>
        </w:tc>
        <w:tc>
          <w:tcPr>
            <w:tcW w:w="1701" w:type="dxa"/>
          </w:tcPr>
          <w:p w:rsidR="005B566C" w:rsidRPr="00993D07" w:rsidRDefault="005B566C" w:rsidP="005B566C">
            <w:pPr>
              <w:pStyle w:val="DefaultText"/>
              <w:spacing w:before="60" w:line="260" w:lineRule="atLeast"/>
              <w:jc w:val="center"/>
              <w:rPr>
                <w:rFonts w:cs="Arial"/>
                <w:sz w:val="20"/>
              </w:rPr>
            </w:pPr>
            <w:r w:rsidRPr="00993D07">
              <w:rPr>
                <w:rFonts w:cs="Arial"/>
                <w:sz w:val="20"/>
              </w:rPr>
              <w:t>Yes</w:t>
            </w:r>
          </w:p>
        </w:tc>
        <w:tc>
          <w:tcPr>
            <w:tcW w:w="1417" w:type="dxa"/>
          </w:tcPr>
          <w:p w:rsidR="005B566C" w:rsidRPr="00993D07" w:rsidRDefault="005B566C" w:rsidP="005B566C">
            <w:pPr>
              <w:pStyle w:val="DefaultText"/>
              <w:spacing w:before="60" w:line="260" w:lineRule="atLeast"/>
              <w:jc w:val="center"/>
              <w:rPr>
                <w:rFonts w:cs="Arial"/>
                <w:sz w:val="20"/>
              </w:rPr>
            </w:pPr>
            <w:r w:rsidRPr="00993D07">
              <w:rPr>
                <w:rFonts w:cs="Arial"/>
                <w:sz w:val="20"/>
              </w:rPr>
              <w:t>Yes</w:t>
            </w:r>
          </w:p>
        </w:tc>
      </w:tr>
      <w:tr w:rsidR="005B566C" w:rsidRPr="00993D07" w:rsidTr="00630839">
        <w:tc>
          <w:tcPr>
            <w:tcW w:w="2093" w:type="dxa"/>
            <w:shd w:val="clear" w:color="auto" w:fill="E5DFEC" w:themeFill="accent4" w:themeFillTint="33"/>
          </w:tcPr>
          <w:p w:rsidR="005B566C" w:rsidRPr="00993D07" w:rsidRDefault="005B566C" w:rsidP="001116E1">
            <w:pPr>
              <w:pStyle w:val="DefaultText"/>
              <w:spacing w:before="60" w:after="120" w:line="260" w:lineRule="atLeast"/>
              <w:rPr>
                <w:rFonts w:cs="Arial"/>
                <w:b/>
                <w:i/>
                <w:sz w:val="20"/>
              </w:rPr>
            </w:pPr>
            <w:r w:rsidRPr="00993D07">
              <w:rPr>
                <w:rFonts w:cs="Arial"/>
                <w:b/>
                <w:i/>
                <w:sz w:val="20"/>
              </w:rPr>
              <w:t>National Office</w:t>
            </w:r>
          </w:p>
        </w:tc>
        <w:tc>
          <w:tcPr>
            <w:tcW w:w="1843" w:type="dxa"/>
          </w:tcPr>
          <w:p w:rsidR="005B566C" w:rsidRPr="00993D07" w:rsidRDefault="005B566C" w:rsidP="005B566C">
            <w:pPr>
              <w:pStyle w:val="DefaultText"/>
              <w:spacing w:before="60" w:line="260" w:lineRule="atLeast"/>
              <w:jc w:val="center"/>
              <w:rPr>
                <w:rFonts w:cs="Arial"/>
                <w:sz w:val="20"/>
              </w:rPr>
            </w:pPr>
          </w:p>
        </w:tc>
        <w:tc>
          <w:tcPr>
            <w:tcW w:w="1701" w:type="dxa"/>
          </w:tcPr>
          <w:p w:rsidR="005B566C" w:rsidRPr="00993D07" w:rsidRDefault="005B566C" w:rsidP="005B566C">
            <w:pPr>
              <w:pStyle w:val="DefaultText"/>
              <w:spacing w:before="60" w:line="260" w:lineRule="atLeast"/>
              <w:jc w:val="center"/>
              <w:rPr>
                <w:rFonts w:cs="Arial"/>
                <w:sz w:val="20"/>
              </w:rPr>
            </w:pPr>
          </w:p>
        </w:tc>
        <w:tc>
          <w:tcPr>
            <w:tcW w:w="1701" w:type="dxa"/>
          </w:tcPr>
          <w:p w:rsidR="005B566C" w:rsidRPr="00993D07" w:rsidRDefault="005B566C" w:rsidP="005B566C">
            <w:pPr>
              <w:pStyle w:val="DefaultText"/>
              <w:spacing w:before="60" w:line="260" w:lineRule="atLeast"/>
              <w:jc w:val="center"/>
              <w:rPr>
                <w:rFonts w:cs="Arial"/>
                <w:sz w:val="20"/>
              </w:rPr>
            </w:pPr>
            <w:r w:rsidRPr="00993D07">
              <w:rPr>
                <w:rFonts w:cs="Arial"/>
                <w:sz w:val="20"/>
              </w:rPr>
              <w:t>Yes</w:t>
            </w:r>
          </w:p>
        </w:tc>
        <w:tc>
          <w:tcPr>
            <w:tcW w:w="1417" w:type="dxa"/>
          </w:tcPr>
          <w:p w:rsidR="005B566C" w:rsidRPr="00993D07" w:rsidRDefault="005B566C" w:rsidP="005B566C">
            <w:pPr>
              <w:pStyle w:val="DefaultText"/>
              <w:spacing w:before="60" w:line="260" w:lineRule="atLeast"/>
              <w:jc w:val="center"/>
              <w:rPr>
                <w:rFonts w:cs="Arial"/>
                <w:sz w:val="20"/>
              </w:rPr>
            </w:pPr>
          </w:p>
        </w:tc>
      </w:tr>
    </w:tbl>
    <w:p w:rsidR="004254B6" w:rsidRPr="00993D07" w:rsidRDefault="004254B6" w:rsidP="003B2F91">
      <w:pPr>
        <w:pStyle w:val="DefaultText"/>
        <w:spacing w:line="260" w:lineRule="atLeast"/>
        <w:rPr>
          <w:rFonts w:cs="Arial"/>
          <w:sz w:val="22"/>
        </w:rPr>
      </w:pPr>
    </w:p>
    <w:p w:rsidR="00576E34" w:rsidRPr="00993D07" w:rsidRDefault="00576E34" w:rsidP="003B2F91">
      <w:pPr>
        <w:pStyle w:val="DefaultText"/>
        <w:spacing w:line="260" w:lineRule="atLeast"/>
        <w:rPr>
          <w:rFonts w:cs="Arial"/>
          <w:sz w:val="20"/>
        </w:rPr>
      </w:pPr>
      <w:r w:rsidRPr="00993D07">
        <w:rPr>
          <w:rFonts w:cs="Arial"/>
          <w:sz w:val="20"/>
        </w:rPr>
        <w:t xml:space="preserve">The sample group covers </w:t>
      </w:r>
      <w:r w:rsidR="00CF63A0" w:rsidRPr="00993D07">
        <w:rPr>
          <w:rFonts w:cs="Arial"/>
          <w:sz w:val="20"/>
        </w:rPr>
        <w:t>segmen</w:t>
      </w:r>
      <w:r w:rsidR="004B3C5C" w:rsidRPr="00993D07">
        <w:rPr>
          <w:rFonts w:cs="Arial"/>
          <w:sz w:val="20"/>
        </w:rPr>
        <w:t>t</w:t>
      </w:r>
      <w:r w:rsidR="00CF63A0" w:rsidRPr="00993D07">
        <w:rPr>
          <w:rFonts w:cs="Arial"/>
          <w:sz w:val="20"/>
        </w:rPr>
        <w:t>s</w:t>
      </w:r>
      <w:r w:rsidR="004B3C5C" w:rsidRPr="00993D07">
        <w:rPr>
          <w:rFonts w:cs="Arial"/>
          <w:sz w:val="20"/>
        </w:rPr>
        <w:t xml:space="preserve"> of </w:t>
      </w:r>
      <w:r w:rsidRPr="00993D07">
        <w:rPr>
          <w:rFonts w:cs="Arial"/>
          <w:sz w:val="20"/>
        </w:rPr>
        <w:t>the large, mid, and smaller jurisdictions.  The rational</w:t>
      </w:r>
      <w:r w:rsidR="00DB63A2" w:rsidRPr="00993D07">
        <w:rPr>
          <w:rFonts w:cs="Arial"/>
          <w:sz w:val="20"/>
        </w:rPr>
        <w:t>e</w:t>
      </w:r>
      <w:r w:rsidRPr="00993D07">
        <w:rPr>
          <w:rFonts w:cs="Arial"/>
          <w:sz w:val="20"/>
        </w:rPr>
        <w:t xml:space="preserve"> for the selections </w:t>
      </w:r>
      <w:r w:rsidR="004B3C5C" w:rsidRPr="00993D07">
        <w:rPr>
          <w:rFonts w:cs="Arial"/>
          <w:sz w:val="20"/>
        </w:rPr>
        <w:t xml:space="preserve">made </w:t>
      </w:r>
      <w:r w:rsidRPr="00993D07">
        <w:rPr>
          <w:rFonts w:cs="Arial"/>
          <w:sz w:val="20"/>
        </w:rPr>
        <w:t>is as follows:</w:t>
      </w:r>
    </w:p>
    <w:p w:rsidR="004B3C5C" w:rsidRPr="00993D07" w:rsidRDefault="004B3C5C" w:rsidP="003B2F91">
      <w:pPr>
        <w:pStyle w:val="DefaultText"/>
        <w:spacing w:line="260" w:lineRule="atLeast"/>
        <w:rPr>
          <w:rFonts w:cs="Arial"/>
          <w:sz w:val="20"/>
        </w:rPr>
      </w:pPr>
    </w:p>
    <w:p w:rsidR="00CF63A0" w:rsidRPr="00993D07" w:rsidRDefault="004B3C5C" w:rsidP="00CF63A0">
      <w:pPr>
        <w:pStyle w:val="DefaultText"/>
        <w:spacing w:line="260" w:lineRule="atLeast"/>
        <w:ind w:left="993" w:hanging="993"/>
        <w:rPr>
          <w:rFonts w:cs="Arial"/>
          <w:sz w:val="20"/>
        </w:rPr>
      </w:pPr>
      <w:r w:rsidRPr="00993D07">
        <w:rPr>
          <w:rFonts w:cs="Arial"/>
          <w:i/>
          <w:sz w:val="20"/>
        </w:rPr>
        <w:t>ACT</w:t>
      </w:r>
      <w:r w:rsidRPr="00993D07">
        <w:rPr>
          <w:rFonts w:cs="Arial"/>
          <w:sz w:val="20"/>
        </w:rPr>
        <w:tab/>
      </w:r>
      <w:r w:rsidR="00CF63A0" w:rsidRPr="00993D07">
        <w:rPr>
          <w:rFonts w:cs="Arial"/>
          <w:sz w:val="20"/>
        </w:rPr>
        <w:t>Notifications requires the most resources.  Registration numbers are not material to the overall results.</w:t>
      </w:r>
    </w:p>
    <w:p w:rsidR="00CF63A0" w:rsidRPr="00993D07" w:rsidRDefault="00CF63A0" w:rsidP="00CF63A0">
      <w:pPr>
        <w:pStyle w:val="DefaultText"/>
        <w:spacing w:line="260" w:lineRule="atLeast"/>
        <w:ind w:left="993" w:hanging="993"/>
        <w:rPr>
          <w:rFonts w:cs="Arial"/>
          <w:sz w:val="20"/>
        </w:rPr>
      </w:pPr>
    </w:p>
    <w:p w:rsidR="00CF63A0" w:rsidRPr="00993D07" w:rsidRDefault="00CF63A0" w:rsidP="00CF63A0">
      <w:pPr>
        <w:pStyle w:val="DefaultText"/>
        <w:spacing w:line="260" w:lineRule="atLeast"/>
        <w:ind w:left="993" w:hanging="993"/>
        <w:rPr>
          <w:rFonts w:cs="Arial"/>
          <w:sz w:val="20"/>
        </w:rPr>
      </w:pPr>
      <w:r w:rsidRPr="00993D07">
        <w:rPr>
          <w:rFonts w:cs="Arial"/>
          <w:i/>
          <w:sz w:val="20"/>
        </w:rPr>
        <w:t>TAS</w:t>
      </w:r>
      <w:r w:rsidRPr="00993D07">
        <w:rPr>
          <w:rFonts w:cs="Arial"/>
          <w:sz w:val="20"/>
        </w:rPr>
        <w:tab/>
        <w:t>Notifications requires the most resources.  Registration numbers are not material to the overall results.</w:t>
      </w:r>
    </w:p>
    <w:p w:rsidR="004B3C5C" w:rsidRPr="00993D07" w:rsidRDefault="004B3C5C" w:rsidP="00CF63A0">
      <w:pPr>
        <w:pStyle w:val="DefaultText"/>
        <w:spacing w:line="260" w:lineRule="atLeast"/>
        <w:ind w:left="993" w:hanging="993"/>
        <w:rPr>
          <w:rFonts w:cs="Arial"/>
          <w:sz w:val="20"/>
        </w:rPr>
      </w:pPr>
    </w:p>
    <w:p w:rsidR="00CF63A0" w:rsidRPr="00993D07" w:rsidRDefault="00CF63A0" w:rsidP="00CF63A0">
      <w:pPr>
        <w:pStyle w:val="DefaultText"/>
        <w:spacing w:line="260" w:lineRule="atLeast"/>
        <w:ind w:left="993" w:hanging="993"/>
        <w:rPr>
          <w:rFonts w:cs="Arial"/>
          <w:sz w:val="20"/>
        </w:rPr>
      </w:pPr>
      <w:r w:rsidRPr="00993D07">
        <w:rPr>
          <w:rFonts w:cs="Arial"/>
          <w:i/>
          <w:sz w:val="20"/>
        </w:rPr>
        <w:t>NT</w:t>
      </w:r>
      <w:r w:rsidRPr="00993D07">
        <w:rPr>
          <w:rFonts w:cs="Arial"/>
          <w:sz w:val="20"/>
        </w:rPr>
        <w:tab/>
        <w:t>Notifications requires the most resources.  Registration numbers are not material to the overall results.</w:t>
      </w:r>
    </w:p>
    <w:p w:rsidR="004B3C5C" w:rsidRPr="00993D07" w:rsidRDefault="004B3C5C" w:rsidP="00CF63A0">
      <w:pPr>
        <w:pStyle w:val="DefaultText"/>
        <w:spacing w:line="260" w:lineRule="atLeast"/>
        <w:ind w:left="993" w:hanging="993"/>
        <w:rPr>
          <w:rFonts w:cs="Arial"/>
          <w:sz w:val="20"/>
        </w:rPr>
      </w:pPr>
    </w:p>
    <w:p w:rsidR="00576E34" w:rsidRPr="00993D07" w:rsidRDefault="00CF63A0" w:rsidP="00CF63A0">
      <w:pPr>
        <w:pStyle w:val="DefaultText"/>
        <w:spacing w:line="260" w:lineRule="atLeast"/>
        <w:ind w:left="993" w:hanging="993"/>
        <w:rPr>
          <w:rFonts w:cs="Arial"/>
          <w:sz w:val="20"/>
        </w:rPr>
      </w:pPr>
      <w:r w:rsidRPr="00993D07">
        <w:rPr>
          <w:rFonts w:cs="Arial"/>
          <w:i/>
          <w:sz w:val="20"/>
        </w:rPr>
        <w:t>SA</w:t>
      </w:r>
      <w:r w:rsidR="00DE14C6" w:rsidRPr="00993D07">
        <w:rPr>
          <w:rFonts w:cs="Arial"/>
          <w:sz w:val="20"/>
        </w:rPr>
        <w:tab/>
        <w:t>Registration effort is similar to WA but notifications/legal operate only under the National Law.</w:t>
      </w:r>
    </w:p>
    <w:p w:rsidR="004B3C5C" w:rsidRPr="00993D07" w:rsidRDefault="004B3C5C" w:rsidP="00CF63A0">
      <w:pPr>
        <w:pStyle w:val="DefaultText"/>
        <w:spacing w:line="260" w:lineRule="atLeast"/>
        <w:ind w:left="993" w:hanging="993"/>
        <w:rPr>
          <w:rFonts w:cs="Arial"/>
          <w:sz w:val="20"/>
        </w:rPr>
      </w:pPr>
    </w:p>
    <w:p w:rsidR="00DE14C6" w:rsidRPr="00993D07" w:rsidRDefault="00CF63A0" w:rsidP="00CF63A0">
      <w:pPr>
        <w:pStyle w:val="DefaultText"/>
        <w:spacing w:line="260" w:lineRule="atLeast"/>
        <w:ind w:left="993" w:hanging="993"/>
        <w:rPr>
          <w:rFonts w:cs="Arial"/>
          <w:sz w:val="20"/>
        </w:rPr>
      </w:pPr>
      <w:r w:rsidRPr="00993D07">
        <w:rPr>
          <w:rFonts w:cs="Arial"/>
          <w:i/>
          <w:sz w:val="20"/>
        </w:rPr>
        <w:t>WA</w:t>
      </w:r>
      <w:r w:rsidR="00DE14C6" w:rsidRPr="00993D07">
        <w:rPr>
          <w:rFonts w:cs="Arial"/>
          <w:sz w:val="20"/>
        </w:rPr>
        <w:tab/>
        <w:t>Registrations and Board Services were selected as a valid sample of the mid</w:t>
      </w:r>
      <w:r w:rsidR="00FD1B44" w:rsidRPr="00993D07">
        <w:rPr>
          <w:rFonts w:cs="Arial"/>
          <w:sz w:val="20"/>
        </w:rPr>
        <w:t>-size</w:t>
      </w:r>
      <w:r w:rsidR="00DE14C6" w:rsidRPr="00993D07">
        <w:rPr>
          <w:rFonts w:cs="Arial"/>
          <w:sz w:val="20"/>
        </w:rPr>
        <w:t xml:space="preserve"> and smaller states and territories.  WA notifications operate under 10 pre-transition Acts plus the National Law.  Activity was expected to </w:t>
      </w:r>
      <w:r w:rsidR="00E4195F" w:rsidRPr="00993D07">
        <w:rPr>
          <w:rFonts w:cs="Arial"/>
          <w:sz w:val="20"/>
        </w:rPr>
        <w:t>yield different results</w:t>
      </w:r>
      <w:r w:rsidR="00DE14C6" w:rsidRPr="00993D07">
        <w:rPr>
          <w:rFonts w:cs="Arial"/>
          <w:sz w:val="20"/>
        </w:rPr>
        <w:t xml:space="preserve"> from SA.</w:t>
      </w:r>
    </w:p>
    <w:p w:rsidR="00DE14C6" w:rsidRPr="00993D07" w:rsidRDefault="00DE14C6" w:rsidP="00CF63A0">
      <w:pPr>
        <w:pStyle w:val="DefaultText"/>
        <w:spacing w:line="260" w:lineRule="atLeast"/>
        <w:ind w:left="993" w:hanging="993"/>
        <w:rPr>
          <w:rFonts w:cs="Arial"/>
          <w:sz w:val="20"/>
        </w:rPr>
      </w:pPr>
    </w:p>
    <w:p w:rsidR="00DE14C6" w:rsidRPr="00993D07" w:rsidRDefault="00576E34" w:rsidP="00CF63A0">
      <w:pPr>
        <w:pStyle w:val="DefaultText"/>
        <w:spacing w:line="260" w:lineRule="atLeast"/>
        <w:ind w:left="993" w:hanging="993"/>
        <w:rPr>
          <w:rFonts w:cs="Arial"/>
          <w:sz w:val="20"/>
        </w:rPr>
      </w:pPr>
      <w:r w:rsidRPr="00993D07">
        <w:rPr>
          <w:rFonts w:cs="Arial"/>
          <w:i/>
          <w:sz w:val="20"/>
        </w:rPr>
        <w:t>NSW</w:t>
      </w:r>
      <w:r w:rsidR="00DE14C6" w:rsidRPr="00993D07">
        <w:rPr>
          <w:rFonts w:cs="Arial"/>
          <w:sz w:val="20"/>
        </w:rPr>
        <w:tab/>
        <w:t>There are no notifications activities in NSW and registrations is the largest activity.</w:t>
      </w:r>
    </w:p>
    <w:p w:rsidR="004B3C5C" w:rsidRPr="00993D07" w:rsidRDefault="004B3C5C" w:rsidP="00CF63A0">
      <w:pPr>
        <w:pStyle w:val="DefaultText"/>
        <w:spacing w:line="260" w:lineRule="atLeast"/>
        <w:ind w:left="993" w:hanging="993"/>
        <w:rPr>
          <w:rFonts w:cs="Arial"/>
          <w:sz w:val="20"/>
        </w:rPr>
      </w:pPr>
    </w:p>
    <w:p w:rsidR="00DE14C6" w:rsidRPr="00993D07" w:rsidRDefault="004B3C5C" w:rsidP="00CF63A0">
      <w:pPr>
        <w:pStyle w:val="DefaultText"/>
        <w:spacing w:line="260" w:lineRule="atLeast"/>
        <w:ind w:left="993" w:hanging="993"/>
        <w:rPr>
          <w:rFonts w:cs="Arial"/>
          <w:sz w:val="20"/>
        </w:rPr>
      </w:pPr>
      <w:r w:rsidRPr="00993D07">
        <w:rPr>
          <w:rFonts w:cs="Arial"/>
          <w:i/>
          <w:sz w:val="20"/>
        </w:rPr>
        <w:t>QLD</w:t>
      </w:r>
      <w:r w:rsidR="00DE14C6" w:rsidRPr="00993D07">
        <w:rPr>
          <w:rFonts w:cs="Arial"/>
          <w:sz w:val="20"/>
        </w:rPr>
        <w:tab/>
        <w:t xml:space="preserve">Notifications in Qld was experiencing a period that was not ‘business </w:t>
      </w:r>
      <w:r w:rsidR="00B861A2" w:rsidRPr="00993D07">
        <w:rPr>
          <w:rFonts w:cs="Arial"/>
          <w:sz w:val="20"/>
        </w:rPr>
        <w:t>as</w:t>
      </w:r>
      <w:r w:rsidR="00DE14C6" w:rsidRPr="00993D07">
        <w:rPr>
          <w:rFonts w:cs="Arial"/>
          <w:sz w:val="20"/>
        </w:rPr>
        <w:t xml:space="preserve"> usual’ and was excluded from the survey.</w:t>
      </w:r>
      <w:r w:rsidR="00E4195F" w:rsidRPr="00993D07">
        <w:rPr>
          <w:rFonts w:cs="Arial"/>
          <w:sz w:val="20"/>
        </w:rPr>
        <w:t xml:space="preserve"> </w:t>
      </w:r>
      <w:r w:rsidR="00394598" w:rsidRPr="00993D07">
        <w:rPr>
          <w:rFonts w:cs="Arial"/>
          <w:sz w:val="20"/>
        </w:rPr>
        <w:t xml:space="preserve"> All other areas were included.</w:t>
      </w:r>
    </w:p>
    <w:p w:rsidR="00CF63A0" w:rsidRPr="00993D07" w:rsidRDefault="00CF63A0" w:rsidP="00CF63A0">
      <w:pPr>
        <w:pStyle w:val="DefaultText"/>
        <w:spacing w:line="260" w:lineRule="atLeast"/>
        <w:ind w:left="993" w:hanging="993"/>
        <w:rPr>
          <w:rFonts w:cs="Arial"/>
          <w:sz w:val="20"/>
        </w:rPr>
      </w:pPr>
    </w:p>
    <w:p w:rsidR="00394598" w:rsidRPr="00993D07" w:rsidRDefault="00394598" w:rsidP="00CF63A0">
      <w:pPr>
        <w:pStyle w:val="DefaultText"/>
        <w:spacing w:line="260" w:lineRule="atLeast"/>
        <w:ind w:left="993" w:hanging="993"/>
        <w:rPr>
          <w:rFonts w:cs="Arial"/>
          <w:sz w:val="20"/>
        </w:rPr>
      </w:pPr>
      <w:r w:rsidRPr="00993D07">
        <w:rPr>
          <w:rFonts w:cs="Arial"/>
          <w:i/>
          <w:sz w:val="20"/>
        </w:rPr>
        <w:t>V</w:t>
      </w:r>
      <w:r w:rsidR="004B3C5C" w:rsidRPr="00993D07">
        <w:rPr>
          <w:rFonts w:cs="Arial"/>
          <w:i/>
          <w:sz w:val="20"/>
        </w:rPr>
        <w:t>IC</w:t>
      </w:r>
      <w:r w:rsidRPr="00993D07">
        <w:rPr>
          <w:rFonts w:cs="Arial"/>
          <w:sz w:val="20"/>
        </w:rPr>
        <w:t xml:space="preserve"> </w:t>
      </w:r>
      <w:r w:rsidRPr="00993D07">
        <w:rPr>
          <w:rFonts w:cs="Arial"/>
          <w:sz w:val="20"/>
        </w:rPr>
        <w:tab/>
        <w:t>All Victorian activity was included.</w:t>
      </w:r>
    </w:p>
    <w:p w:rsidR="00CF63A0" w:rsidRPr="00993D07" w:rsidRDefault="00CF63A0" w:rsidP="00CF63A0">
      <w:pPr>
        <w:pStyle w:val="DefaultText"/>
        <w:spacing w:line="260" w:lineRule="atLeast"/>
        <w:ind w:left="993" w:hanging="993"/>
        <w:rPr>
          <w:rFonts w:cs="Arial"/>
          <w:sz w:val="20"/>
        </w:rPr>
      </w:pPr>
    </w:p>
    <w:p w:rsidR="00394598" w:rsidRPr="00993D07" w:rsidRDefault="00CF63A0" w:rsidP="00CF63A0">
      <w:pPr>
        <w:pStyle w:val="DefaultText"/>
        <w:spacing w:line="260" w:lineRule="atLeast"/>
        <w:ind w:left="993" w:hanging="993"/>
        <w:rPr>
          <w:rFonts w:cs="Arial"/>
          <w:sz w:val="20"/>
        </w:rPr>
      </w:pPr>
      <w:r w:rsidRPr="00993D07">
        <w:rPr>
          <w:rFonts w:cs="Arial"/>
          <w:i/>
          <w:sz w:val="20"/>
        </w:rPr>
        <w:t>N.O</w:t>
      </w:r>
      <w:r w:rsidR="00FD1B44" w:rsidRPr="00993D07">
        <w:rPr>
          <w:rFonts w:cs="Arial"/>
          <w:i/>
          <w:sz w:val="20"/>
        </w:rPr>
        <w:t>.</w:t>
      </w:r>
      <w:r w:rsidR="00394598" w:rsidRPr="00993D07">
        <w:rPr>
          <w:rFonts w:cs="Arial"/>
          <w:sz w:val="20"/>
        </w:rPr>
        <w:tab/>
      </w:r>
      <w:r w:rsidR="00135EA4">
        <w:rPr>
          <w:rFonts w:cs="Arial"/>
          <w:sz w:val="20"/>
        </w:rPr>
        <w:t xml:space="preserve">National </w:t>
      </w:r>
      <w:r w:rsidR="00394598" w:rsidRPr="00993D07">
        <w:rPr>
          <w:rFonts w:cs="Arial"/>
          <w:sz w:val="20"/>
        </w:rPr>
        <w:t xml:space="preserve">Board </w:t>
      </w:r>
      <w:r w:rsidR="00135EA4">
        <w:rPr>
          <w:rFonts w:cs="Arial"/>
          <w:sz w:val="20"/>
        </w:rPr>
        <w:t>S</w:t>
      </w:r>
      <w:r w:rsidR="00394598" w:rsidRPr="00993D07">
        <w:rPr>
          <w:rFonts w:cs="Arial"/>
          <w:sz w:val="20"/>
        </w:rPr>
        <w:t xml:space="preserve">ervices was included as the primary direct </w:t>
      </w:r>
      <w:r w:rsidR="00427AA4" w:rsidRPr="00993D07">
        <w:rPr>
          <w:rFonts w:cs="Arial"/>
          <w:sz w:val="20"/>
        </w:rPr>
        <w:t>B</w:t>
      </w:r>
      <w:r w:rsidR="00394598" w:rsidRPr="00993D07">
        <w:rPr>
          <w:rFonts w:cs="Arial"/>
          <w:sz w:val="20"/>
        </w:rPr>
        <w:t>oard ac</w:t>
      </w:r>
      <w:r w:rsidR="00E4195F" w:rsidRPr="00993D07">
        <w:rPr>
          <w:rFonts w:cs="Arial"/>
          <w:sz w:val="20"/>
        </w:rPr>
        <w:t>tivity</w:t>
      </w:r>
      <w:r w:rsidR="00141A4D">
        <w:rPr>
          <w:rFonts w:cs="Arial"/>
          <w:sz w:val="20"/>
        </w:rPr>
        <w:t>.</w:t>
      </w:r>
    </w:p>
    <w:p w:rsidR="00394598" w:rsidRPr="00993D07" w:rsidRDefault="00394598" w:rsidP="00DE14C6">
      <w:pPr>
        <w:pStyle w:val="DefaultText"/>
        <w:spacing w:line="260" w:lineRule="atLeast"/>
        <w:ind w:left="709" w:hanging="709"/>
        <w:rPr>
          <w:rFonts w:cs="Arial"/>
          <w:sz w:val="20"/>
        </w:rPr>
      </w:pPr>
    </w:p>
    <w:p w:rsidR="00394598" w:rsidRPr="00993D07" w:rsidRDefault="00394598" w:rsidP="00394598">
      <w:pPr>
        <w:pStyle w:val="DefaultText"/>
        <w:spacing w:line="260" w:lineRule="atLeast"/>
        <w:rPr>
          <w:rFonts w:cs="Arial"/>
          <w:sz w:val="20"/>
        </w:rPr>
      </w:pPr>
      <w:r w:rsidRPr="00993D07">
        <w:rPr>
          <w:rFonts w:cs="Arial"/>
          <w:sz w:val="20"/>
        </w:rPr>
        <w:t xml:space="preserve">Some staff </w:t>
      </w:r>
      <w:r w:rsidRPr="003E3669">
        <w:rPr>
          <w:rFonts w:cs="Arial"/>
          <w:sz w:val="20"/>
        </w:rPr>
        <w:t xml:space="preserve">were not required to complete timesheets as their time is </w:t>
      </w:r>
      <w:r w:rsidR="00416505">
        <w:rPr>
          <w:rFonts w:cs="Arial"/>
          <w:sz w:val="20"/>
        </w:rPr>
        <w:t>primarily</w:t>
      </w:r>
      <w:r w:rsidR="007E5637">
        <w:rPr>
          <w:rFonts w:cs="Arial"/>
          <w:sz w:val="20"/>
        </w:rPr>
        <w:t xml:space="preserve"> spent on one Board only.  Included in</w:t>
      </w:r>
      <w:r w:rsidRPr="00993D07">
        <w:rPr>
          <w:rFonts w:cs="Arial"/>
          <w:sz w:val="20"/>
        </w:rPr>
        <w:t xml:space="preserve"> this group are </w:t>
      </w:r>
      <w:r w:rsidR="005B4D2E">
        <w:rPr>
          <w:rFonts w:cs="Arial"/>
          <w:sz w:val="20"/>
        </w:rPr>
        <w:t xml:space="preserve">National Board Executive Officers, </w:t>
      </w:r>
      <w:r w:rsidR="008E5187" w:rsidRPr="00993D07">
        <w:rPr>
          <w:rFonts w:cs="Arial"/>
          <w:sz w:val="20"/>
        </w:rPr>
        <w:t>some p</w:t>
      </w:r>
      <w:r w:rsidRPr="00993D07">
        <w:rPr>
          <w:rFonts w:cs="Arial"/>
          <w:sz w:val="20"/>
        </w:rPr>
        <w:t xml:space="preserve">rofessional </w:t>
      </w:r>
      <w:r w:rsidR="008E5187" w:rsidRPr="00993D07">
        <w:rPr>
          <w:rFonts w:cs="Arial"/>
          <w:sz w:val="20"/>
        </w:rPr>
        <w:t>o</w:t>
      </w:r>
      <w:r w:rsidRPr="00993D07">
        <w:rPr>
          <w:rFonts w:cs="Arial"/>
          <w:sz w:val="20"/>
        </w:rPr>
        <w:t xml:space="preserve">fficers and some Board Support staff.  The results included the time spent by </w:t>
      </w:r>
      <w:r w:rsidR="005B4D2E">
        <w:rPr>
          <w:rFonts w:cs="Arial"/>
          <w:sz w:val="20"/>
        </w:rPr>
        <w:t>these</w:t>
      </w:r>
      <w:r w:rsidR="005B4D2E" w:rsidRPr="00993D07">
        <w:rPr>
          <w:rFonts w:cs="Arial"/>
          <w:sz w:val="20"/>
        </w:rPr>
        <w:t xml:space="preserve"> </w:t>
      </w:r>
      <w:r w:rsidRPr="00993D07">
        <w:rPr>
          <w:rFonts w:cs="Arial"/>
          <w:sz w:val="20"/>
        </w:rPr>
        <w:t>group</w:t>
      </w:r>
      <w:r w:rsidR="005B4D2E">
        <w:rPr>
          <w:rFonts w:cs="Arial"/>
          <w:sz w:val="20"/>
        </w:rPr>
        <w:t>s</w:t>
      </w:r>
      <w:r w:rsidRPr="00993D07">
        <w:rPr>
          <w:rFonts w:cs="Arial"/>
          <w:sz w:val="20"/>
        </w:rPr>
        <w:t>, but not via timesheet records</w:t>
      </w:r>
    </w:p>
    <w:p w:rsidR="00576E34" w:rsidRPr="00993D07" w:rsidRDefault="00576E34" w:rsidP="00DE14C6">
      <w:pPr>
        <w:pStyle w:val="DefaultText"/>
        <w:spacing w:line="260" w:lineRule="atLeast"/>
        <w:ind w:left="709" w:hanging="709"/>
        <w:rPr>
          <w:rFonts w:cs="Arial"/>
          <w:sz w:val="20"/>
        </w:rPr>
      </w:pPr>
    </w:p>
    <w:p w:rsidR="00576E34" w:rsidRPr="00993D07" w:rsidRDefault="00AF727C" w:rsidP="003B2F91">
      <w:pPr>
        <w:pStyle w:val="DefaultText"/>
        <w:spacing w:line="260" w:lineRule="atLeast"/>
        <w:rPr>
          <w:rFonts w:cs="Arial"/>
          <w:sz w:val="20"/>
        </w:rPr>
      </w:pPr>
      <w:r w:rsidRPr="00993D07">
        <w:rPr>
          <w:rFonts w:cs="Arial"/>
          <w:sz w:val="20"/>
        </w:rPr>
        <w:t xml:space="preserve">At the end of November 2012, </w:t>
      </w:r>
      <w:r w:rsidR="00141A4D">
        <w:rPr>
          <w:rFonts w:cs="Arial"/>
          <w:sz w:val="20"/>
        </w:rPr>
        <w:t>712 staff were engaged in the National Scheme.</w:t>
      </w:r>
      <w:r w:rsidRPr="00993D07">
        <w:rPr>
          <w:rFonts w:cs="Arial"/>
          <w:sz w:val="20"/>
        </w:rPr>
        <w:t xml:space="preserve"> This include</w:t>
      </w:r>
      <w:r w:rsidR="00141A4D">
        <w:rPr>
          <w:rFonts w:cs="Arial"/>
          <w:sz w:val="20"/>
        </w:rPr>
        <w:t xml:space="preserve">s all </w:t>
      </w:r>
      <w:r w:rsidRPr="00993D07">
        <w:rPr>
          <w:rFonts w:cs="Arial"/>
          <w:sz w:val="20"/>
        </w:rPr>
        <w:t xml:space="preserve"> part time</w:t>
      </w:r>
      <w:r w:rsidR="00141A4D">
        <w:rPr>
          <w:rFonts w:cs="Arial"/>
          <w:sz w:val="20"/>
        </w:rPr>
        <w:t>, casual</w:t>
      </w:r>
      <w:r w:rsidRPr="00993D07">
        <w:rPr>
          <w:rFonts w:cs="Arial"/>
          <w:sz w:val="20"/>
        </w:rPr>
        <w:t xml:space="preserve"> and full time staff.</w:t>
      </w:r>
      <w:r w:rsidR="00141A4D">
        <w:rPr>
          <w:rFonts w:cs="Arial"/>
          <w:sz w:val="20"/>
        </w:rPr>
        <w:t xml:space="preserve">  It represents all contributors to the National Scheme irrespective of </w:t>
      </w:r>
      <w:r w:rsidR="00141A4D" w:rsidRPr="00A863FD">
        <w:rPr>
          <w:rFonts w:cs="Arial"/>
          <w:sz w:val="20"/>
        </w:rPr>
        <w:t xml:space="preserve">hours worked. </w:t>
      </w:r>
      <w:r w:rsidRPr="00A863FD">
        <w:rPr>
          <w:rFonts w:cs="Arial"/>
          <w:sz w:val="20"/>
        </w:rPr>
        <w:t xml:space="preserve"> The timesheet </w:t>
      </w:r>
      <w:r w:rsidR="005F741A">
        <w:rPr>
          <w:rFonts w:cs="Arial"/>
          <w:sz w:val="20"/>
        </w:rPr>
        <w:t>survey recorded entries from 335 staff (these staff fit the methodology profile in Section 4.1).  A further 80 staff were not included in the sample but where included in the</w:t>
      </w:r>
      <w:r w:rsidRPr="00993D07">
        <w:rPr>
          <w:rFonts w:cs="Arial"/>
          <w:sz w:val="20"/>
        </w:rPr>
        <w:t xml:space="preserve"> cost pool.</w:t>
      </w:r>
      <w:r w:rsidR="00141A4D">
        <w:rPr>
          <w:rFonts w:cs="Arial"/>
          <w:sz w:val="20"/>
        </w:rPr>
        <w:t xml:space="preserve">  This meant that 415 staff were captured in some way through the cost allocation process</w:t>
      </w:r>
    </w:p>
    <w:p w:rsidR="00AF727C" w:rsidRPr="00993D07" w:rsidRDefault="00AF727C" w:rsidP="003B2F91">
      <w:pPr>
        <w:pStyle w:val="DefaultText"/>
        <w:spacing w:line="260" w:lineRule="atLeast"/>
        <w:rPr>
          <w:rFonts w:cs="Arial"/>
          <w:sz w:val="20"/>
        </w:rPr>
      </w:pPr>
    </w:p>
    <w:p w:rsidR="00AF727C" w:rsidRPr="00993D07" w:rsidRDefault="009C29C2" w:rsidP="003B2F91">
      <w:pPr>
        <w:pStyle w:val="DefaultText"/>
        <w:spacing w:line="260" w:lineRule="atLeast"/>
        <w:rPr>
          <w:rFonts w:cs="Arial"/>
          <w:sz w:val="20"/>
        </w:rPr>
      </w:pPr>
      <w:r w:rsidRPr="00993D07">
        <w:rPr>
          <w:rFonts w:cs="Arial"/>
          <w:sz w:val="20"/>
        </w:rPr>
        <w:t>This leaves approximately 297</w:t>
      </w:r>
      <w:r w:rsidR="00AF727C" w:rsidRPr="00993D07">
        <w:rPr>
          <w:rFonts w:cs="Arial"/>
          <w:sz w:val="20"/>
        </w:rPr>
        <w:t xml:space="preserve"> staff </w:t>
      </w:r>
      <w:r w:rsidR="00141A4D">
        <w:rPr>
          <w:rFonts w:cs="Arial"/>
          <w:sz w:val="20"/>
        </w:rPr>
        <w:t xml:space="preserve">that were not captured directly.  These staff are a broad combination of  </w:t>
      </w:r>
      <w:r w:rsidR="00AF727C" w:rsidRPr="00993D07">
        <w:rPr>
          <w:rFonts w:cs="Arial"/>
          <w:sz w:val="20"/>
        </w:rPr>
        <w:t xml:space="preserve">National Office </w:t>
      </w:r>
      <w:r w:rsidR="00141A4D">
        <w:rPr>
          <w:rFonts w:cs="Arial"/>
          <w:sz w:val="20"/>
        </w:rPr>
        <w:t xml:space="preserve">staff, general support staff and state office staff.  That is, 297 staff were </w:t>
      </w:r>
      <w:r w:rsidR="00617E56" w:rsidRPr="00993D07">
        <w:rPr>
          <w:rFonts w:cs="Arial"/>
          <w:sz w:val="20"/>
        </w:rPr>
        <w:t>not incl</w:t>
      </w:r>
      <w:r w:rsidR="00427AA4" w:rsidRPr="00993D07">
        <w:rPr>
          <w:rFonts w:cs="Arial"/>
          <w:sz w:val="20"/>
        </w:rPr>
        <w:t>ud</w:t>
      </w:r>
      <w:r w:rsidR="00617E56" w:rsidRPr="00993D07">
        <w:rPr>
          <w:rFonts w:cs="Arial"/>
          <w:sz w:val="20"/>
        </w:rPr>
        <w:t xml:space="preserve">ed in the sample as their efforts are not aligned to </w:t>
      </w:r>
      <w:r w:rsidR="00141A4D">
        <w:rPr>
          <w:rFonts w:cs="Arial"/>
          <w:sz w:val="20"/>
        </w:rPr>
        <w:t xml:space="preserve">a </w:t>
      </w:r>
      <w:r w:rsidR="00617E56" w:rsidRPr="00993D07">
        <w:rPr>
          <w:rFonts w:cs="Arial"/>
          <w:sz w:val="20"/>
        </w:rPr>
        <w:t>Boards</w:t>
      </w:r>
      <w:r w:rsidR="00141A4D">
        <w:rPr>
          <w:rFonts w:cs="Arial"/>
          <w:sz w:val="20"/>
        </w:rPr>
        <w:t xml:space="preserve"> or Boards</w:t>
      </w:r>
      <w:r w:rsidR="00617E56" w:rsidRPr="00993D07">
        <w:rPr>
          <w:rFonts w:cs="Arial"/>
          <w:sz w:val="20"/>
        </w:rPr>
        <w:t xml:space="preserve"> specifically.  </w:t>
      </w:r>
    </w:p>
    <w:p w:rsidR="003B2F91" w:rsidRPr="00993D07" w:rsidRDefault="00376DD6" w:rsidP="00CC5F54">
      <w:pPr>
        <w:pStyle w:val="Heading2"/>
      </w:pPr>
      <w:bookmarkStart w:id="19" w:name="_Toc346891242"/>
      <w:r w:rsidRPr="00993D07">
        <w:t>Timing</w:t>
      </w:r>
      <w:bookmarkEnd w:id="19"/>
    </w:p>
    <w:p w:rsidR="00376DD6" w:rsidRPr="00993D07" w:rsidRDefault="00376DD6" w:rsidP="00376DD6">
      <w:pPr>
        <w:pStyle w:val="DefaultText"/>
        <w:spacing w:line="260" w:lineRule="atLeast"/>
        <w:rPr>
          <w:rFonts w:cs="Arial"/>
          <w:sz w:val="20"/>
        </w:rPr>
      </w:pPr>
      <w:r w:rsidRPr="00993D07">
        <w:rPr>
          <w:rFonts w:cs="Arial"/>
          <w:sz w:val="20"/>
        </w:rPr>
        <w:t>The working group identified a 3 month timesheet collation period (7 September 2012 to 7 December 2012).</w:t>
      </w:r>
      <w:r w:rsidR="00C45422" w:rsidRPr="00993D07">
        <w:rPr>
          <w:rFonts w:cs="Arial"/>
          <w:sz w:val="20"/>
        </w:rPr>
        <w:t xml:space="preserve">  </w:t>
      </w:r>
      <w:r w:rsidRPr="00993D07">
        <w:rPr>
          <w:rFonts w:cs="Arial"/>
          <w:sz w:val="20"/>
        </w:rPr>
        <w:t>There were a number of reasons for choosing to conduct the survey during these dates and for this length of time;</w:t>
      </w:r>
    </w:p>
    <w:p w:rsidR="00376DD6" w:rsidRPr="00993D07" w:rsidRDefault="00376DD6" w:rsidP="00376DD6">
      <w:pPr>
        <w:pStyle w:val="DefaultText"/>
        <w:spacing w:line="260" w:lineRule="atLeast"/>
        <w:rPr>
          <w:rFonts w:cs="Arial"/>
          <w:sz w:val="20"/>
        </w:rPr>
      </w:pPr>
    </w:p>
    <w:p w:rsidR="00376DD6" w:rsidRPr="00993D07" w:rsidRDefault="00394598" w:rsidP="00376DD6">
      <w:pPr>
        <w:pStyle w:val="DefaultText"/>
        <w:numPr>
          <w:ilvl w:val="0"/>
          <w:numId w:val="26"/>
        </w:numPr>
        <w:spacing w:line="260" w:lineRule="atLeast"/>
        <w:rPr>
          <w:rFonts w:cs="Arial"/>
          <w:sz w:val="20"/>
        </w:rPr>
      </w:pPr>
      <w:r w:rsidRPr="00993D07">
        <w:rPr>
          <w:rFonts w:cs="Arial"/>
          <w:sz w:val="20"/>
        </w:rPr>
        <w:t>It included renewal per</w:t>
      </w:r>
      <w:r w:rsidR="004F0239" w:rsidRPr="00993D07">
        <w:rPr>
          <w:rFonts w:cs="Arial"/>
          <w:sz w:val="20"/>
        </w:rPr>
        <w:t xml:space="preserve">iods for all </w:t>
      </w:r>
      <w:r w:rsidR="00427AA4" w:rsidRPr="00993D07">
        <w:rPr>
          <w:rFonts w:cs="Arial"/>
          <w:sz w:val="20"/>
        </w:rPr>
        <w:t>B</w:t>
      </w:r>
      <w:r w:rsidR="004F0239" w:rsidRPr="00993D07">
        <w:rPr>
          <w:rFonts w:cs="Arial"/>
          <w:sz w:val="20"/>
        </w:rPr>
        <w:t>oards except N</w:t>
      </w:r>
      <w:r w:rsidR="005B4D2E">
        <w:rPr>
          <w:rFonts w:cs="Arial"/>
          <w:sz w:val="20"/>
        </w:rPr>
        <w:t xml:space="preserve">ursing and </w:t>
      </w:r>
      <w:r w:rsidR="004F0239" w:rsidRPr="00993D07">
        <w:rPr>
          <w:rFonts w:cs="Arial"/>
          <w:sz w:val="20"/>
        </w:rPr>
        <w:t>M</w:t>
      </w:r>
      <w:r w:rsidR="005B4D2E">
        <w:rPr>
          <w:rFonts w:cs="Arial"/>
          <w:sz w:val="20"/>
        </w:rPr>
        <w:t xml:space="preserve">idwifery </w:t>
      </w:r>
      <w:r w:rsidR="004F0239" w:rsidRPr="00993D07">
        <w:rPr>
          <w:rFonts w:cs="Arial"/>
          <w:sz w:val="20"/>
        </w:rPr>
        <w:t>B</w:t>
      </w:r>
      <w:r w:rsidR="005B4D2E">
        <w:rPr>
          <w:rFonts w:cs="Arial"/>
          <w:sz w:val="20"/>
        </w:rPr>
        <w:t xml:space="preserve">oard of </w:t>
      </w:r>
      <w:r w:rsidR="004F0239" w:rsidRPr="00993D07">
        <w:rPr>
          <w:rFonts w:cs="Arial"/>
          <w:sz w:val="20"/>
        </w:rPr>
        <w:t>A</w:t>
      </w:r>
      <w:r w:rsidR="005B4D2E">
        <w:rPr>
          <w:rFonts w:cs="Arial"/>
          <w:sz w:val="20"/>
        </w:rPr>
        <w:t>ustralia</w:t>
      </w:r>
      <w:r w:rsidR="004F0239" w:rsidRPr="00993D07">
        <w:rPr>
          <w:rFonts w:cs="Arial"/>
          <w:sz w:val="20"/>
        </w:rPr>
        <w:t>;</w:t>
      </w:r>
    </w:p>
    <w:p w:rsidR="00394598" w:rsidRPr="00993D07" w:rsidRDefault="00394598" w:rsidP="00376DD6">
      <w:pPr>
        <w:pStyle w:val="DefaultText"/>
        <w:numPr>
          <w:ilvl w:val="0"/>
          <w:numId w:val="26"/>
        </w:numPr>
        <w:spacing w:line="260" w:lineRule="atLeast"/>
        <w:rPr>
          <w:rFonts w:cs="Arial"/>
          <w:sz w:val="20"/>
        </w:rPr>
      </w:pPr>
      <w:r w:rsidRPr="00993D07">
        <w:rPr>
          <w:rFonts w:cs="Arial"/>
          <w:sz w:val="20"/>
        </w:rPr>
        <w:t>It was sufficiently lon</w:t>
      </w:r>
      <w:r w:rsidR="004F0239" w:rsidRPr="00993D07">
        <w:rPr>
          <w:rFonts w:cs="Arial"/>
          <w:sz w:val="20"/>
        </w:rPr>
        <w:t>g to ensure a valid sample size;</w:t>
      </w:r>
    </w:p>
    <w:p w:rsidR="00376DD6" w:rsidRPr="00993D07" w:rsidRDefault="00394598" w:rsidP="00DB63A2">
      <w:pPr>
        <w:pStyle w:val="DefaultText"/>
        <w:numPr>
          <w:ilvl w:val="0"/>
          <w:numId w:val="26"/>
        </w:numPr>
        <w:spacing w:line="260" w:lineRule="atLeast"/>
        <w:rPr>
          <w:rFonts w:cs="Arial"/>
          <w:sz w:val="20"/>
        </w:rPr>
      </w:pPr>
      <w:r w:rsidRPr="00993D07">
        <w:rPr>
          <w:rFonts w:cs="Arial"/>
          <w:sz w:val="20"/>
        </w:rPr>
        <w:t xml:space="preserve">It was short enough to minimise </w:t>
      </w:r>
      <w:r w:rsidR="00FA3D83" w:rsidRPr="00993D07">
        <w:rPr>
          <w:rFonts w:cs="Arial"/>
          <w:sz w:val="20"/>
        </w:rPr>
        <w:t>the disruptio</w:t>
      </w:r>
      <w:r w:rsidR="004F0239" w:rsidRPr="00993D07">
        <w:rPr>
          <w:rFonts w:cs="Arial"/>
          <w:sz w:val="20"/>
        </w:rPr>
        <w:t>n to staff; and</w:t>
      </w:r>
    </w:p>
    <w:p w:rsidR="00DB63A2" w:rsidRPr="00993D07" w:rsidRDefault="00DB63A2" w:rsidP="00DB63A2">
      <w:pPr>
        <w:pStyle w:val="DefaultText"/>
        <w:numPr>
          <w:ilvl w:val="0"/>
          <w:numId w:val="26"/>
        </w:numPr>
        <w:spacing w:line="260" w:lineRule="atLeast"/>
        <w:rPr>
          <w:rFonts w:cs="Arial"/>
          <w:sz w:val="20"/>
        </w:rPr>
      </w:pPr>
      <w:r w:rsidRPr="00993D07">
        <w:rPr>
          <w:rFonts w:cs="Arial"/>
          <w:sz w:val="20"/>
        </w:rPr>
        <w:t>It enabled sufficient analysis and reporting time to ensure that the data could be incorporated into the 2013/14 financial year.</w:t>
      </w:r>
    </w:p>
    <w:p w:rsidR="00433D6B" w:rsidRPr="00993D07" w:rsidRDefault="00C1018B" w:rsidP="00CC5F54">
      <w:pPr>
        <w:pStyle w:val="Heading2"/>
      </w:pPr>
      <w:bookmarkStart w:id="20" w:name="_Toc346891243"/>
      <w:r w:rsidRPr="00993D07">
        <w:t>Normalisation of data</w:t>
      </w:r>
      <w:bookmarkEnd w:id="20"/>
    </w:p>
    <w:p w:rsidR="003C03BD" w:rsidRPr="00993D07" w:rsidRDefault="003C03BD" w:rsidP="003C03BD">
      <w:pPr>
        <w:pStyle w:val="Heading3"/>
        <w:rPr>
          <w:rFonts w:cs="Arial"/>
          <w:color w:val="00B0F0"/>
        </w:rPr>
      </w:pPr>
      <w:bookmarkStart w:id="21" w:name="_Toc346891244"/>
      <w:r w:rsidRPr="00993D07">
        <w:rPr>
          <w:rFonts w:cs="Arial"/>
          <w:color w:val="00B0F0"/>
        </w:rPr>
        <w:t>From three months to annualised data</w:t>
      </w:r>
      <w:bookmarkEnd w:id="21"/>
    </w:p>
    <w:p w:rsidR="00C1018B" w:rsidRPr="00993D07" w:rsidRDefault="00C1018B" w:rsidP="003C03BD">
      <w:pPr>
        <w:pStyle w:val="Table-body"/>
        <w:spacing w:before="0" w:after="0" w:line="260" w:lineRule="atLeast"/>
        <w:jc w:val="both"/>
        <w:rPr>
          <w:rFonts w:ascii="Arial" w:hAnsi="Arial" w:cs="Arial"/>
        </w:rPr>
      </w:pPr>
      <w:r w:rsidRPr="00993D07">
        <w:rPr>
          <w:rFonts w:ascii="Arial" w:hAnsi="Arial" w:cs="Arial"/>
        </w:rPr>
        <w:t xml:space="preserve">The data collected in the sample </w:t>
      </w:r>
      <w:r w:rsidR="00DB6B30">
        <w:rPr>
          <w:rFonts w:ascii="Arial" w:hAnsi="Arial" w:cs="Arial"/>
        </w:rPr>
        <w:t>capture</w:t>
      </w:r>
      <w:r w:rsidR="00135EA4">
        <w:rPr>
          <w:rFonts w:ascii="Arial" w:hAnsi="Arial" w:cs="Arial"/>
        </w:rPr>
        <w:t xml:space="preserve"> a 3 month period.</w:t>
      </w:r>
    </w:p>
    <w:p w:rsidR="003C03BD" w:rsidRPr="00993D07" w:rsidRDefault="003C03BD" w:rsidP="003C03BD">
      <w:pPr>
        <w:pStyle w:val="DefaultText"/>
        <w:spacing w:line="260" w:lineRule="atLeast"/>
        <w:rPr>
          <w:rFonts w:cs="Arial"/>
          <w:sz w:val="20"/>
        </w:rPr>
      </w:pPr>
    </w:p>
    <w:p w:rsidR="003C03BD" w:rsidRPr="00993D07" w:rsidRDefault="00C1018B" w:rsidP="003C03BD">
      <w:pPr>
        <w:pStyle w:val="Table-body"/>
        <w:spacing w:before="0" w:after="0" w:line="260" w:lineRule="atLeast"/>
        <w:jc w:val="both"/>
        <w:rPr>
          <w:rFonts w:ascii="Arial" w:hAnsi="Arial" w:cs="Arial"/>
        </w:rPr>
      </w:pPr>
      <w:r w:rsidRPr="00993D07">
        <w:rPr>
          <w:rFonts w:ascii="Arial" w:hAnsi="Arial" w:cs="Arial"/>
        </w:rPr>
        <w:t xml:space="preserve">Most of the activities during </w:t>
      </w:r>
      <w:r w:rsidR="00DB6B30">
        <w:rPr>
          <w:rFonts w:ascii="Arial" w:hAnsi="Arial" w:cs="Arial"/>
        </w:rPr>
        <w:t xml:space="preserve">the sample </w:t>
      </w:r>
      <w:r w:rsidRPr="00993D07">
        <w:rPr>
          <w:rFonts w:ascii="Arial" w:hAnsi="Arial" w:cs="Arial"/>
        </w:rPr>
        <w:t xml:space="preserve">period are reflective of the whole year as the work is not seasonal.  The </w:t>
      </w:r>
      <w:r w:rsidR="003C03BD" w:rsidRPr="00993D07">
        <w:rPr>
          <w:rFonts w:ascii="Arial" w:hAnsi="Arial" w:cs="Arial"/>
        </w:rPr>
        <w:t xml:space="preserve">main </w:t>
      </w:r>
      <w:r w:rsidRPr="00993D07">
        <w:rPr>
          <w:rFonts w:ascii="Arial" w:hAnsi="Arial" w:cs="Arial"/>
        </w:rPr>
        <w:t xml:space="preserve">exception </w:t>
      </w:r>
      <w:r w:rsidR="003C03BD" w:rsidRPr="00993D07">
        <w:rPr>
          <w:rFonts w:ascii="Arial" w:hAnsi="Arial" w:cs="Arial"/>
        </w:rPr>
        <w:t xml:space="preserve">to this </w:t>
      </w:r>
      <w:r w:rsidR="008E5187" w:rsidRPr="00993D07">
        <w:rPr>
          <w:rFonts w:ascii="Arial" w:hAnsi="Arial" w:cs="Arial"/>
        </w:rPr>
        <w:t xml:space="preserve">is </w:t>
      </w:r>
      <w:r w:rsidRPr="00993D07">
        <w:rPr>
          <w:rFonts w:ascii="Arial" w:hAnsi="Arial" w:cs="Arial"/>
        </w:rPr>
        <w:t xml:space="preserve">Australian applications </w:t>
      </w:r>
      <w:r w:rsidR="005B4D2E">
        <w:rPr>
          <w:rFonts w:ascii="Arial" w:hAnsi="Arial" w:cs="Arial"/>
        </w:rPr>
        <w:t xml:space="preserve">for registration </w:t>
      </w:r>
      <w:r w:rsidRPr="00993D07">
        <w:rPr>
          <w:rFonts w:ascii="Arial" w:hAnsi="Arial" w:cs="Arial"/>
        </w:rPr>
        <w:t>and renewals.</w:t>
      </w:r>
      <w:r w:rsidR="005C3A5D" w:rsidRPr="00993D07">
        <w:rPr>
          <w:rFonts w:ascii="Arial" w:hAnsi="Arial" w:cs="Arial"/>
        </w:rPr>
        <w:t xml:space="preserve">  </w:t>
      </w:r>
    </w:p>
    <w:p w:rsidR="003C03BD" w:rsidRPr="00993D07" w:rsidRDefault="003C03BD" w:rsidP="003C03BD">
      <w:pPr>
        <w:pStyle w:val="Table-body"/>
        <w:spacing w:before="0" w:after="0" w:line="260" w:lineRule="atLeast"/>
        <w:jc w:val="both"/>
        <w:rPr>
          <w:rFonts w:ascii="Arial" w:hAnsi="Arial" w:cs="Arial"/>
        </w:rPr>
      </w:pPr>
    </w:p>
    <w:p w:rsidR="003C03BD" w:rsidRPr="00993D07" w:rsidRDefault="005B4D2E" w:rsidP="003C03BD">
      <w:pPr>
        <w:pStyle w:val="Table-body"/>
        <w:spacing w:before="0" w:after="0" w:line="260" w:lineRule="atLeast"/>
        <w:jc w:val="both"/>
        <w:rPr>
          <w:rFonts w:ascii="Arial" w:hAnsi="Arial" w:cs="Arial"/>
        </w:rPr>
      </w:pPr>
      <w:r>
        <w:rPr>
          <w:rFonts w:ascii="Arial" w:hAnsi="Arial" w:cs="Arial"/>
        </w:rPr>
        <w:t>A</w:t>
      </w:r>
      <w:r w:rsidR="00C1018B" w:rsidRPr="00993D07">
        <w:rPr>
          <w:rFonts w:ascii="Arial" w:hAnsi="Arial" w:cs="Arial"/>
        </w:rPr>
        <w:t xml:space="preserve">pplications </w:t>
      </w:r>
      <w:r>
        <w:rPr>
          <w:rFonts w:ascii="Arial" w:hAnsi="Arial" w:cs="Arial"/>
        </w:rPr>
        <w:t xml:space="preserve">from Australian graduates and practitioners </w:t>
      </w:r>
      <w:r w:rsidR="00C1018B" w:rsidRPr="00993D07">
        <w:rPr>
          <w:rFonts w:ascii="Arial" w:hAnsi="Arial" w:cs="Arial"/>
        </w:rPr>
        <w:t>are received throughout the year but peak at the end of the calendar year</w:t>
      </w:r>
      <w:r w:rsidR="003C03BD" w:rsidRPr="00993D07">
        <w:rPr>
          <w:rFonts w:ascii="Arial" w:hAnsi="Arial" w:cs="Arial"/>
        </w:rPr>
        <w:t xml:space="preserve"> due to the</w:t>
      </w:r>
      <w:r w:rsidR="00C1018B" w:rsidRPr="00993D07">
        <w:rPr>
          <w:rFonts w:ascii="Arial" w:hAnsi="Arial" w:cs="Arial"/>
        </w:rPr>
        <w:t xml:space="preserve"> align</w:t>
      </w:r>
      <w:r w:rsidR="003C03BD" w:rsidRPr="00993D07">
        <w:rPr>
          <w:rFonts w:ascii="Arial" w:hAnsi="Arial" w:cs="Arial"/>
        </w:rPr>
        <w:t>ment to</w:t>
      </w:r>
      <w:r w:rsidR="00C1018B" w:rsidRPr="00993D07">
        <w:rPr>
          <w:rFonts w:ascii="Arial" w:hAnsi="Arial" w:cs="Arial"/>
        </w:rPr>
        <w:t xml:space="preserve"> courses of study. </w:t>
      </w:r>
      <w:r w:rsidR="00427AA4" w:rsidRPr="00993D07">
        <w:rPr>
          <w:rFonts w:ascii="Arial" w:hAnsi="Arial" w:cs="Arial"/>
        </w:rPr>
        <w:t>As</w:t>
      </w:r>
      <w:r w:rsidR="003C03BD" w:rsidRPr="00993D07">
        <w:rPr>
          <w:rFonts w:ascii="Arial" w:hAnsi="Arial" w:cs="Arial"/>
        </w:rPr>
        <w:t xml:space="preserve"> this is</w:t>
      </w:r>
      <w:r w:rsidR="00C1018B" w:rsidRPr="00993D07">
        <w:rPr>
          <w:rFonts w:ascii="Arial" w:hAnsi="Arial" w:cs="Arial"/>
        </w:rPr>
        <w:t xml:space="preserve"> comparable across all 14 professions</w:t>
      </w:r>
      <w:r w:rsidR="003C03BD" w:rsidRPr="00993D07">
        <w:rPr>
          <w:rFonts w:ascii="Arial" w:hAnsi="Arial" w:cs="Arial"/>
        </w:rPr>
        <w:t xml:space="preserve">, data </w:t>
      </w:r>
      <w:r>
        <w:rPr>
          <w:rFonts w:ascii="Arial" w:hAnsi="Arial" w:cs="Arial"/>
        </w:rPr>
        <w:t>are</w:t>
      </w:r>
      <w:r w:rsidRPr="00993D07">
        <w:rPr>
          <w:rFonts w:ascii="Arial" w:hAnsi="Arial" w:cs="Arial"/>
        </w:rPr>
        <w:t xml:space="preserve"> </w:t>
      </w:r>
      <w:r w:rsidR="003C03BD" w:rsidRPr="00993D07">
        <w:rPr>
          <w:rFonts w:ascii="Arial" w:hAnsi="Arial" w:cs="Arial"/>
        </w:rPr>
        <w:t>expected to remain consistent</w:t>
      </w:r>
      <w:r w:rsidR="00C1018B" w:rsidRPr="00993D07">
        <w:rPr>
          <w:rFonts w:ascii="Arial" w:hAnsi="Arial" w:cs="Arial"/>
        </w:rPr>
        <w:t xml:space="preserve">. </w:t>
      </w:r>
    </w:p>
    <w:p w:rsidR="003C03BD" w:rsidRPr="00993D07" w:rsidRDefault="003C03BD" w:rsidP="003C03BD">
      <w:pPr>
        <w:pStyle w:val="Table-body"/>
        <w:spacing w:before="0" w:after="0" w:line="260" w:lineRule="atLeast"/>
        <w:jc w:val="both"/>
        <w:rPr>
          <w:rFonts w:ascii="Arial" w:hAnsi="Arial" w:cs="Arial"/>
        </w:rPr>
      </w:pPr>
    </w:p>
    <w:p w:rsidR="00C1018B" w:rsidRPr="00993D07" w:rsidRDefault="00C1018B" w:rsidP="003C03BD">
      <w:pPr>
        <w:pStyle w:val="Table-body"/>
        <w:spacing w:before="0" w:after="0" w:line="260" w:lineRule="atLeast"/>
        <w:jc w:val="both"/>
        <w:rPr>
          <w:rFonts w:ascii="Arial" w:hAnsi="Arial" w:cs="Arial"/>
        </w:rPr>
      </w:pPr>
      <w:r w:rsidRPr="00993D07">
        <w:rPr>
          <w:rFonts w:ascii="Arial" w:hAnsi="Arial" w:cs="Arial"/>
        </w:rPr>
        <w:t>Renewal effort peaks either side of the renewal data and is considerabl</w:t>
      </w:r>
      <w:r w:rsidR="003C03BD" w:rsidRPr="00993D07">
        <w:rPr>
          <w:rFonts w:ascii="Arial" w:hAnsi="Arial" w:cs="Arial"/>
        </w:rPr>
        <w:t>y</w:t>
      </w:r>
      <w:r w:rsidRPr="00993D07">
        <w:rPr>
          <w:rFonts w:ascii="Arial" w:hAnsi="Arial" w:cs="Arial"/>
        </w:rPr>
        <w:t xml:space="preserve"> less at the other times of the year.  </w:t>
      </w:r>
      <w:r w:rsidR="003C03BD" w:rsidRPr="00993D07">
        <w:rPr>
          <w:rFonts w:ascii="Arial" w:hAnsi="Arial" w:cs="Arial"/>
        </w:rPr>
        <w:t>The question arises, ‘</w:t>
      </w:r>
      <w:r w:rsidRPr="00993D07">
        <w:rPr>
          <w:rFonts w:ascii="Arial" w:hAnsi="Arial" w:cs="Arial"/>
        </w:rPr>
        <w:t>Do the 3 month data need to be normalised to 12 month data to take into account this effort, not just comparable to each profession but within the profession itself?</w:t>
      </w:r>
      <w:r w:rsidR="003C03BD" w:rsidRPr="00993D07">
        <w:rPr>
          <w:rFonts w:ascii="Arial" w:hAnsi="Arial" w:cs="Arial"/>
        </w:rPr>
        <w:t>’</w:t>
      </w:r>
      <w:r w:rsidRPr="00993D07">
        <w:rPr>
          <w:rFonts w:ascii="Arial" w:hAnsi="Arial" w:cs="Arial"/>
        </w:rPr>
        <w:t xml:space="preserve">  Currently there is insufficient data to assess the effort outside of the survey period but may form part of any proposal for future survey periods. </w:t>
      </w:r>
    </w:p>
    <w:p w:rsidR="00C1018B" w:rsidRPr="00993D07" w:rsidRDefault="00C1018B" w:rsidP="003C03BD">
      <w:pPr>
        <w:pStyle w:val="Table-body"/>
        <w:spacing w:before="0" w:after="0" w:line="260" w:lineRule="atLeast"/>
        <w:jc w:val="both"/>
        <w:rPr>
          <w:rFonts w:ascii="Arial" w:hAnsi="Arial" w:cs="Arial"/>
        </w:rPr>
      </w:pPr>
    </w:p>
    <w:p w:rsidR="003C03BD" w:rsidRPr="00993D07" w:rsidRDefault="00C1018B" w:rsidP="003C03BD">
      <w:pPr>
        <w:pStyle w:val="Table-body"/>
        <w:overflowPunct/>
        <w:autoSpaceDE/>
        <w:autoSpaceDN/>
        <w:adjustRightInd/>
        <w:spacing w:before="0" w:after="0" w:line="260" w:lineRule="atLeast"/>
        <w:jc w:val="both"/>
        <w:textAlignment w:val="auto"/>
        <w:rPr>
          <w:rFonts w:ascii="Arial" w:hAnsi="Arial" w:cs="Arial"/>
        </w:rPr>
      </w:pPr>
      <w:r w:rsidRPr="00993D07">
        <w:rPr>
          <w:rFonts w:ascii="Arial" w:hAnsi="Arial" w:cs="Arial"/>
        </w:rPr>
        <w:t xml:space="preserve">Therefore it is </w:t>
      </w:r>
      <w:r w:rsidR="003C03BD" w:rsidRPr="00993D07">
        <w:rPr>
          <w:rFonts w:ascii="Arial" w:hAnsi="Arial" w:cs="Arial"/>
        </w:rPr>
        <w:t xml:space="preserve">reasonable for the </w:t>
      </w:r>
      <w:r w:rsidR="00E130AB" w:rsidRPr="00993D07">
        <w:rPr>
          <w:rFonts w:ascii="Arial" w:hAnsi="Arial" w:cs="Arial"/>
        </w:rPr>
        <w:t xml:space="preserve">base </w:t>
      </w:r>
      <w:r w:rsidRPr="00993D07">
        <w:rPr>
          <w:rFonts w:ascii="Arial" w:hAnsi="Arial" w:cs="Arial"/>
        </w:rPr>
        <w:t xml:space="preserve">data collected from the </w:t>
      </w:r>
      <w:r w:rsidR="00843700" w:rsidRPr="00993D07">
        <w:rPr>
          <w:rFonts w:ascii="Arial" w:hAnsi="Arial" w:cs="Arial"/>
        </w:rPr>
        <w:t>3 month collation</w:t>
      </w:r>
      <w:r w:rsidRPr="00993D07">
        <w:rPr>
          <w:rFonts w:ascii="Arial" w:hAnsi="Arial" w:cs="Arial"/>
        </w:rPr>
        <w:t xml:space="preserve"> period </w:t>
      </w:r>
      <w:r w:rsidR="003C03BD" w:rsidRPr="00993D07">
        <w:rPr>
          <w:rFonts w:ascii="Arial" w:hAnsi="Arial" w:cs="Arial"/>
        </w:rPr>
        <w:t xml:space="preserve">to </w:t>
      </w:r>
      <w:r w:rsidR="003C03BD" w:rsidRPr="00993D07">
        <w:rPr>
          <w:rFonts w:ascii="Arial" w:hAnsi="Arial" w:cs="Arial"/>
          <w:u w:val="single"/>
        </w:rPr>
        <w:t>remain unad</w:t>
      </w:r>
      <w:r w:rsidRPr="00993D07">
        <w:rPr>
          <w:rFonts w:ascii="Arial" w:hAnsi="Arial" w:cs="Arial"/>
          <w:u w:val="single"/>
        </w:rPr>
        <w:t>justed</w:t>
      </w:r>
      <w:r w:rsidRPr="00993D07">
        <w:rPr>
          <w:rFonts w:ascii="Arial" w:hAnsi="Arial" w:cs="Arial"/>
        </w:rPr>
        <w:t xml:space="preserve"> as there is insufficient data to base any adjustment on.</w:t>
      </w:r>
    </w:p>
    <w:p w:rsidR="003C03BD" w:rsidRPr="00993D07" w:rsidRDefault="003C03BD" w:rsidP="003C03BD">
      <w:pPr>
        <w:pStyle w:val="Heading3"/>
        <w:rPr>
          <w:rFonts w:cs="Arial"/>
          <w:color w:val="00B0F0"/>
        </w:rPr>
      </w:pPr>
      <w:bookmarkStart w:id="22" w:name="_Toc346891245"/>
      <w:r w:rsidRPr="00993D07">
        <w:rPr>
          <w:rFonts w:cs="Arial"/>
          <w:color w:val="00B0F0"/>
        </w:rPr>
        <w:t>Hourly Rates</w:t>
      </w:r>
      <w:bookmarkEnd w:id="22"/>
    </w:p>
    <w:p w:rsidR="003C03BD" w:rsidRPr="00993D07" w:rsidRDefault="003C03BD" w:rsidP="003C03BD">
      <w:pPr>
        <w:pStyle w:val="Table-body"/>
        <w:spacing w:before="0" w:after="0" w:line="260" w:lineRule="atLeast"/>
        <w:jc w:val="both"/>
        <w:rPr>
          <w:rFonts w:ascii="Arial" w:hAnsi="Arial" w:cs="Arial"/>
        </w:rPr>
      </w:pPr>
      <w:r w:rsidRPr="00993D07">
        <w:rPr>
          <w:rFonts w:ascii="Arial" w:hAnsi="Arial" w:cs="Arial"/>
        </w:rPr>
        <w:t xml:space="preserve">The expenditure to be allocated as part of this process relates to actual expenditure incurred over the timesheet period.  </w:t>
      </w:r>
    </w:p>
    <w:p w:rsidR="003C03BD" w:rsidRPr="00993D07" w:rsidRDefault="003C03BD" w:rsidP="003C03BD">
      <w:pPr>
        <w:pStyle w:val="Table-body"/>
        <w:spacing w:before="0" w:after="0" w:line="260" w:lineRule="atLeast"/>
        <w:jc w:val="both"/>
        <w:rPr>
          <w:rFonts w:ascii="Arial" w:hAnsi="Arial" w:cs="Arial"/>
        </w:rPr>
      </w:pPr>
    </w:p>
    <w:p w:rsidR="00E130AB" w:rsidRPr="00993D07" w:rsidRDefault="00E130AB" w:rsidP="003C03BD">
      <w:pPr>
        <w:pStyle w:val="Table-body"/>
        <w:spacing w:before="0" w:after="0" w:line="260" w:lineRule="atLeast"/>
        <w:jc w:val="both"/>
        <w:rPr>
          <w:rFonts w:ascii="Arial" w:hAnsi="Arial" w:cs="Arial"/>
        </w:rPr>
      </w:pPr>
      <w:r w:rsidRPr="00993D07">
        <w:rPr>
          <w:rFonts w:ascii="Arial" w:hAnsi="Arial" w:cs="Arial"/>
        </w:rPr>
        <w:t>This is determined through</w:t>
      </w:r>
      <w:r w:rsidR="003C03BD" w:rsidRPr="00993D07">
        <w:rPr>
          <w:rFonts w:ascii="Arial" w:hAnsi="Arial" w:cs="Arial"/>
        </w:rPr>
        <w:t xml:space="preserve"> a combination of </w:t>
      </w:r>
      <w:r w:rsidRPr="00993D07">
        <w:rPr>
          <w:rFonts w:ascii="Arial" w:hAnsi="Arial" w:cs="Arial"/>
        </w:rPr>
        <w:t>‘</w:t>
      </w:r>
      <w:r w:rsidR="003C03BD" w:rsidRPr="00993D07">
        <w:rPr>
          <w:rFonts w:ascii="Arial" w:hAnsi="Arial" w:cs="Arial"/>
        </w:rPr>
        <w:t>effort</w:t>
      </w:r>
      <w:r w:rsidRPr="00993D07">
        <w:rPr>
          <w:rFonts w:ascii="Arial" w:hAnsi="Arial" w:cs="Arial"/>
        </w:rPr>
        <w:t>’</w:t>
      </w:r>
      <w:r w:rsidR="003C03BD" w:rsidRPr="00993D07">
        <w:rPr>
          <w:rFonts w:ascii="Arial" w:hAnsi="Arial" w:cs="Arial"/>
        </w:rPr>
        <w:t xml:space="preserve"> (hours worked) </w:t>
      </w:r>
      <w:r w:rsidRPr="00993D07">
        <w:rPr>
          <w:rFonts w:ascii="Arial" w:hAnsi="Arial" w:cs="Arial"/>
        </w:rPr>
        <w:t>multiplied by</w:t>
      </w:r>
      <w:r w:rsidR="003C03BD" w:rsidRPr="00993D07">
        <w:rPr>
          <w:rFonts w:ascii="Arial" w:hAnsi="Arial" w:cs="Arial"/>
        </w:rPr>
        <w:t xml:space="preserve"> the </w:t>
      </w:r>
      <w:r w:rsidR="000E4777">
        <w:rPr>
          <w:rFonts w:ascii="Arial" w:hAnsi="Arial" w:cs="Arial"/>
        </w:rPr>
        <w:t xml:space="preserve">actual </w:t>
      </w:r>
      <w:r w:rsidR="003C03BD" w:rsidRPr="00993D07">
        <w:rPr>
          <w:rFonts w:ascii="Arial" w:hAnsi="Arial" w:cs="Arial"/>
        </w:rPr>
        <w:t xml:space="preserve">hourly rate applied to each employee.  </w:t>
      </w:r>
    </w:p>
    <w:p w:rsidR="00E130AB" w:rsidRPr="00993D07" w:rsidRDefault="00E130AB" w:rsidP="003C03BD">
      <w:pPr>
        <w:pStyle w:val="Table-body"/>
        <w:spacing w:before="0" w:after="0" w:line="260" w:lineRule="atLeast"/>
        <w:jc w:val="both"/>
        <w:rPr>
          <w:rFonts w:ascii="Arial" w:hAnsi="Arial" w:cs="Arial"/>
        </w:rPr>
      </w:pPr>
    </w:p>
    <w:p w:rsidR="003C03BD" w:rsidRPr="00993D07" w:rsidRDefault="003C03BD" w:rsidP="003C03BD">
      <w:pPr>
        <w:pStyle w:val="Table-body"/>
        <w:spacing w:before="0" w:after="0" w:line="260" w:lineRule="atLeast"/>
        <w:jc w:val="both"/>
        <w:rPr>
          <w:rFonts w:ascii="Arial" w:hAnsi="Arial" w:cs="Arial"/>
        </w:rPr>
      </w:pPr>
      <w:r w:rsidRPr="00993D07">
        <w:rPr>
          <w:rFonts w:ascii="Arial" w:hAnsi="Arial" w:cs="Arial"/>
        </w:rPr>
        <w:t xml:space="preserve">The data collected </w:t>
      </w:r>
      <w:r w:rsidR="00E130AB" w:rsidRPr="00993D07">
        <w:rPr>
          <w:rFonts w:ascii="Arial" w:hAnsi="Arial" w:cs="Arial"/>
        </w:rPr>
        <w:t xml:space="preserve">for every </w:t>
      </w:r>
      <w:r w:rsidRPr="00993D07">
        <w:rPr>
          <w:rFonts w:ascii="Arial" w:hAnsi="Arial" w:cs="Arial"/>
        </w:rPr>
        <w:t xml:space="preserve">employee </w:t>
      </w:r>
      <w:r w:rsidR="00E130AB" w:rsidRPr="00993D07">
        <w:rPr>
          <w:rFonts w:ascii="Arial" w:hAnsi="Arial" w:cs="Arial"/>
        </w:rPr>
        <w:t>in the sample</w:t>
      </w:r>
      <w:r w:rsidR="003D5AD6" w:rsidRPr="00993D07">
        <w:rPr>
          <w:rFonts w:ascii="Arial" w:hAnsi="Arial" w:cs="Arial"/>
        </w:rPr>
        <w:t>,</w:t>
      </w:r>
      <w:r w:rsidR="00E130AB" w:rsidRPr="00993D07">
        <w:rPr>
          <w:rFonts w:ascii="Arial" w:hAnsi="Arial" w:cs="Arial"/>
        </w:rPr>
        <w:t xml:space="preserve"> </w:t>
      </w:r>
      <w:r w:rsidRPr="00993D07">
        <w:rPr>
          <w:rFonts w:ascii="Arial" w:hAnsi="Arial" w:cs="Arial"/>
        </w:rPr>
        <w:t>and as such the data effort (hours)</w:t>
      </w:r>
      <w:r w:rsidR="003D5AD6" w:rsidRPr="00993D07">
        <w:rPr>
          <w:rFonts w:ascii="Arial" w:hAnsi="Arial" w:cs="Arial"/>
        </w:rPr>
        <w:t>,</w:t>
      </w:r>
      <w:r w:rsidRPr="00993D07">
        <w:rPr>
          <w:rFonts w:ascii="Arial" w:hAnsi="Arial" w:cs="Arial"/>
        </w:rPr>
        <w:t xml:space="preserve"> can be normalised to expenditure by overlaying the hourly rate to each hour worked.  This is important as it is likely to reflect that the more complex areas of effort require </w:t>
      </w:r>
      <w:r w:rsidR="00E130AB" w:rsidRPr="00993D07">
        <w:rPr>
          <w:rFonts w:ascii="Arial" w:hAnsi="Arial" w:cs="Arial"/>
        </w:rPr>
        <w:t xml:space="preserve">more </w:t>
      </w:r>
      <w:r w:rsidRPr="00993D07">
        <w:rPr>
          <w:rFonts w:ascii="Arial" w:hAnsi="Arial" w:cs="Arial"/>
        </w:rPr>
        <w:t xml:space="preserve">senior staff </w:t>
      </w:r>
      <w:r w:rsidR="00E130AB" w:rsidRPr="00993D07">
        <w:rPr>
          <w:rFonts w:ascii="Arial" w:hAnsi="Arial" w:cs="Arial"/>
        </w:rPr>
        <w:t xml:space="preserve">or expertise </w:t>
      </w:r>
      <w:r w:rsidRPr="00993D07">
        <w:rPr>
          <w:rFonts w:ascii="Arial" w:hAnsi="Arial" w:cs="Arial"/>
        </w:rPr>
        <w:t xml:space="preserve">to provide the resource. </w:t>
      </w:r>
    </w:p>
    <w:p w:rsidR="003C03BD" w:rsidRPr="00993D07" w:rsidRDefault="003C03BD" w:rsidP="003C03BD">
      <w:pPr>
        <w:pStyle w:val="Table-body"/>
        <w:spacing w:before="0" w:after="0" w:line="260" w:lineRule="atLeast"/>
        <w:jc w:val="both"/>
        <w:rPr>
          <w:rFonts w:ascii="Arial" w:hAnsi="Arial" w:cs="Arial"/>
        </w:rPr>
      </w:pPr>
    </w:p>
    <w:p w:rsidR="003C03BD" w:rsidRPr="00993D07" w:rsidRDefault="003C03BD" w:rsidP="003C03BD">
      <w:pPr>
        <w:pStyle w:val="Table-body"/>
        <w:spacing w:before="0" w:after="0" w:line="260" w:lineRule="atLeast"/>
        <w:jc w:val="both"/>
        <w:rPr>
          <w:rFonts w:ascii="Arial" w:hAnsi="Arial" w:cs="Arial"/>
        </w:rPr>
      </w:pPr>
      <w:r w:rsidRPr="00993D07">
        <w:rPr>
          <w:rFonts w:ascii="Arial" w:hAnsi="Arial" w:cs="Arial"/>
        </w:rPr>
        <w:t xml:space="preserve">Therefore it is </w:t>
      </w:r>
      <w:r w:rsidR="00E130AB" w:rsidRPr="00993D07">
        <w:rPr>
          <w:rFonts w:ascii="Arial" w:hAnsi="Arial" w:cs="Arial"/>
        </w:rPr>
        <w:t xml:space="preserve">reasonable that </w:t>
      </w:r>
      <w:r w:rsidRPr="00993D07">
        <w:rPr>
          <w:rFonts w:ascii="Arial" w:hAnsi="Arial" w:cs="Arial"/>
        </w:rPr>
        <w:t xml:space="preserve">the data collected from the study period </w:t>
      </w:r>
      <w:r w:rsidRPr="00993D07">
        <w:rPr>
          <w:rFonts w:ascii="Arial" w:hAnsi="Arial" w:cs="Arial"/>
          <w:b/>
        </w:rPr>
        <w:t xml:space="preserve">is </w:t>
      </w:r>
      <w:r w:rsidR="00E130AB" w:rsidRPr="00993D07">
        <w:rPr>
          <w:rFonts w:ascii="Arial" w:hAnsi="Arial" w:cs="Arial"/>
          <w:b/>
        </w:rPr>
        <w:t>a</w:t>
      </w:r>
      <w:r w:rsidRPr="00993D07">
        <w:rPr>
          <w:rFonts w:ascii="Arial" w:hAnsi="Arial" w:cs="Arial"/>
          <w:b/>
        </w:rPr>
        <w:t>djusted</w:t>
      </w:r>
      <w:r w:rsidRPr="00993D07">
        <w:rPr>
          <w:rFonts w:ascii="Arial" w:hAnsi="Arial" w:cs="Arial"/>
        </w:rPr>
        <w:t xml:space="preserve"> </w:t>
      </w:r>
      <w:r w:rsidR="0014236D" w:rsidRPr="00993D07">
        <w:rPr>
          <w:rFonts w:ascii="Arial" w:hAnsi="Arial" w:cs="Arial"/>
        </w:rPr>
        <w:t xml:space="preserve">by </w:t>
      </w:r>
      <w:r w:rsidRPr="00993D07">
        <w:rPr>
          <w:rFonts w:ascii="Arial" w:hAnsi="Arial" w:cs="Arial"/>
        </w:rPr>
        <w:t>overl</w:t>
      </w:r>
      <w:r w:rsidR="00E130AB" w:rsidRPr="00993D07">
        <w:rPr>
          <w:rFonts w:ascii="Arial" w:hAnsi="Arial" w:cs="Arial"/>
        </w:rPr>
        <w:t>a</w:t>
      </w:r>
      <w:r w:rsidRPr="00993D07">
        <w:rPr>
          <w:rFonts w:ascii="Arial" w:hAnsi="Arial" w:cs="Arial"/>
        </w:rPr>
        <w:t>y</w:t>
      </w:r>
      <w:r w:rsidR="0014236D" w:rsidRPr="00993D07">
        <w:rPr>
          <w:rFonts w:ascii="Arial" w:hAnsi="Arial" w:cs="Arial"/>
        </w:rPr>
        <w:t>ing</w:t>
      </w:r>
      <w:r w:rsidRPr="00993D07">
        <w:rPr>
          <w:rFonts w:ascii="Arial" w:hAnsi="Arial" w:cs="Arial"/>
        </w:rPr>
        <w:t xml:space="preserve"> the hourly rate of each employee included in the study period </w:t>
      </w:r>
      <w:r w:rsidR="00E130AB" w:rsidRPr="00993D07">
        <w:rPr>
          <w:rFonts w:ascii="Arial" w:hAnsi="Arial" w:cs="Arial"/>
        </w:rPr>
        <w:t>to ensure that</w:t>
      </w:r>
      <w:r w:rsidRPr="00993D07">
        <w:rPr>
          <w:rFonts w:ascii="Arial" w:hAnsi="Arial" w:cs="Arial"/>
        </w:rPr>
        <w:t xml:space="preserve"> the data more accurately reflect the </w:t>
      </w:r>
      <w:r w:rsidR="00DB63A2" w:rsidRPr="00993D07">
        <w:rPr>
          <w:rFonts w:ascii="Arial" w:hAnsi="Arial" w:cs="Arial"/>
        </w:rPr>
        <w:t xml:space="preserve">actual </w:t>
      </w:r>
      <w:r w:rsidRPr="00993D07">
        <w:rPr>
          <w:rFonts w:ascii="Arial" w:hAnsi="Arial" w:cs="Arial"/>
        </w:rPr>
        <w:t>expenditure in</w:t>
      </w:r>
      <w:r w:rsidR="00DB63A2" w:rsidRPr="00993D07">
        <w:rPr>
          <w:rFonts w:ascii="Arial" w:hAnsi="Arial" w:cs="Arial"/>
        </w:rPr>
        <w:t>curred</w:t>
      </w:r>
      <w:r w:rsidRPr="00993D07">
        <w:rPr>
          <w:rFonts w:ascii="Arial" w:hAnsi="Arial" w:cs="Arial"/>
        </w:rPr>
        <w:t xml:space="preserve"> in the expenditure pool.</w:t>
      </w:r>
    </w:p>
    <w:p w:rsidR="003C03BD" w:rsidRPr="00993D07" w:rsidRDefault="003C03BD" w:rsidP="003C03BD">
      <w:pPr>
        <w:pStyle w:val="Table-body"/>
        <w:overflowPunct/>
        <w:autoSpaceDE/>
        <w:autoSpaceDN/>
        <w:adjustRightInd/>
        <w:spacing w:before="0" w:after="0" w:line="260" w:lineRule="atLeast"/>
        <w:jc w:val="both"/>
        <w:textAlignment w:val="auto"/>
        <w:rPr>
          <w:rFonts w:ascii="Arial" w:hAnsi="Arial" w:cs="Arial"/>
        </w:rPr>
      </w:pPr>
    </w:p>
    <w:p w:rsidR="00FC1C5D" w:rsidRPr="00993D07" w:rsidRDefault="0031693E" w:rsidP="00CC5F54">
      <w:pPr>
        <w:pStyle w:val="Heading1"/>
      </w:pPr>
      <w:bookmarkStart w:id="23" w:name="_Toc346891246"/>
      <w:r w:rsidRPr="00993D07">
        <w:t xml:space="preserve">Appendix 1 – Proposed </w:t>
      </w:r>
      <w:r w:rsidR="00FC1C5D" w:rsidRPr="00993D07">
        <w:t>Adjustments</w:t>
      </w:r>
      <w:bookmarkEnd w:id="23"/>
      <w:r w:rsidR="00FC1C5D" w:rsidRPr="00993D07">
        <w:t xml:space="preserve"> </w:t>
      </w:r>
    </w:p>
    <w:p w:rsidR="00FC1C5D" w:rsidRPr="00993D07" w:rsidRDefault="00FC1C5D" w:rsidP="00FC1C5D">
      <w:pPr>
        <w:pStyle w:val="DefaultText"/>
        <w:spacing w:line="260" w:lineRule="atLeast"/>
        <w:rPr>
          <w:rFonts w:cs="Arial"/>
          <w:sz w:val="20"/>
        </w:rPr>
      </w:pPr>
      <w:r w:rsidRPr="00993D07">
        <w:rPr>
          <w:rFonts w:cs="Arial"/>
          <w:sz w:val="20"/>
        </w:rPr>
        <w:t xml:space="preserve">Once the data </w:t>
      </w:r>
      <w:r w:rsidR="000E4777">
        <w:rPr>
          <w:rFonts w:cs="Arial"/>
          <w:sz w:val="20"/>
        </w:rPr>
        <w:t>were</w:t>
      </w:r>
      <w:r w:rsidR="000E4777" w:rsidRPr="00993D07">
        <w:rPr>
          <w:rFonts w:cs="Arial"/>
          <w:sz w:val="20"/>
        </w:rPr>
        <w:t xml:space="preserve"> </w:t>
      </w:r>
      <w:r w:rsidRPr="00993D07">
        <w:rPr>
          <w:rFonts w:cs="Arial"/>
          <w:sz w:val="20"/>
        </w:rPr>
        <w:t xml:space="preserve">normalised, AHPRA management identified a number of potential adjustments that may need to be considered for incorporation into the model.  Each of these adjustments or ‘issues’ </w:t>
      </w:r>
      <w:r w:rsidR="00EC465C" w:rsidRPr="00993D07">
        <w:rPr>
          <w:rFonts w:cs="Arial"/>
          <w:sz w:val="20"/>
        </w:rPr>
        <w:t xml:space="preserve">was </w:t>
      </w:r>
      <w:r w:rsidRPr="00993D07">
        <w:rPr>
          <w:rFonts w:cs="Arial"/>
          <w:sz w:val="20"/>
        </w:rPr>
        <w:t>assessed in isolation and the outcomes of the assessments are noted below.</w:t>
      </w:r>
    </w:p>
    <w:p w:rsidR="00FC1C5D" w:rsidRPr="00993D07" w:rsidRDefault="00FC1C5D" w:rsidP="00CC5F54">
      <w:pPr>
        <w:pStyle w:val="Heading2"/>
      </w:pPr>
      <w:bookmarkStart w:id="24" w:name="_Toc346891247"/>
      <w:r w:rsidRPr="00993D07">
        <w:t>Adjustment</w:t>
      </w:r>
      <w:r w:rsidR="002E172F" w:rsidRPr="00993D07">
        <w:t>s</w:t>
      </w:r>
      <w:r w:rsidR="00752A87" w:rsidRPr="00993D07">
        <w:t xml:space="preserve"> Made</w:t>
      </w:r>
      <w:bookmarkEnd w:id="24"/>
    </w:p>
    <w:p w:rsidR="00FC1C5D" w:rsidRPr="00993D07" w:rsidRDefault="00FC1C5D" w:rsidP="00FC1C5D">
      <w:pPr>
        <w:pStyle w:val="DefaultText"/>
        <w:spacing w:line="260" w:lineRule="atLeast"/>
        <w:rPr>
          <w:rFonts w:cs="Arial"/>
          <w:sz w:val="20"/>
        </w:rPr>
      </w:pPr>
      <w:r w:rsidRPr="00993D07">
        <w:rPr>
          <w:rFonts w:cs="Arial"/>
          <w:sz w:val="20"/>
        </w:rPr>
        <w:t>The following adjustment</w:t>
      </w:r>
      <w:r w:rsidR="00065B7E" w:rsidRPr="00993D07">
        <w:rPr>
          <w:rFonts w:cs="Arial"/>
          <w:sz w:val="20"/>
        </w:rPr>
        <w:t>s</w:t>
      </w:r>
      <w:r w:rsidRPr="00993D07">
        <w:rPr>
          <w:rFonts w:cs="Arial"/>
          <w:sz w:val="20"/>
        </w:rPr>
        <w:t xml:space="preserve"> </w:t>
      </w:r>
      <w:r w:rsidR="00065B7E" w:rsidRPr="00993D07">
        <w:rPr>
          <w:rFonts w:cs="Arial"/>
          <w:sz w:val="20"/>
        </w:rPr>
        <w:t>have</w:t>
      </w:r>
      <w:r w:rsidRPr="00993D07">
        <w:rPr>
          <w:rFonts w:cs="Arial"/>
          <w:sz w:val="20"/>
        </w:rPr>
        <w:t xml:space="preserve"> been made to model.</w:t>
      </w:r>
    </w:p>
    <w:p w:rsidR="00FC1C5D" w:rsidRPr="00993D07" w:rsidRDefault="00FC1C5D" w:rsidP="00FC1C5D">
      <w:pPr>
        <w:pStyle w:val="Heading3"/>
        <w:rPr>
          <w:rFonts w:cs="Arial"/>
          <w:color w:val="00B0F0"/>
        </w:rPr>
      </w:pPr>
      <w:bookmarkStart w:id="25" w:name="_Toc346891248"/>
      <w:r w:rsidRPr="00993D07">
        <w:rPr>
          <w:rFonts w:cs="Arial"/>
          <w:color w:val="00B0F0"/>
        </w:rPr>
        <w:t>NMBA Renewal Period</w:t>
      </w:r>
      <w:bookmarkEnd w:id="25"/>
      <w:r w:rsidRPr="00993D07">
        <w:rPr>
          <w:rFonts w:cs="Arial"/>
          <w:color w:val="00B0F0"/>
        </w:rPr>
        <w:t xml:space="preserve"> </w:t>
      </w:r>
    </w:p>
    <w:p w:rsidR="00FC1C5D" w:rsidRPr="00993D07" w:rsidRDefault="00FC1C5D" w:rsidP="00FC1C5D">
      <w:pPr>
        <w:pStyle w:val="DefaultText"/>
        <w:spacing w:line="260" w:lineRule="atLeast"/>
        <w:contextualSpacing/>
        <w:rPr>
          <w:rFonts w:cs="Arial"/>
          <w:sz w:val="20"/>
        </w:rPr>
      </w:pPr>
      <w:r w:rsidRPr="00993D07">
        <w:rPr>
          <w:rFonts w:cs="Arial"/>
          <w:sz w:val="20"/>
        </w:rPr>
        <w:t xml:space="preserve">The survey period includes significant portions of the annual renewal period for thirteen of </w:t>
      </w:r>
      <w:r w:rsidR="003F4C1F">
        <w:rPr>
          <w:rFonts w:cs="Arial"/>
          <w:sz w:val="20"/>
        </w:rPr>
        <w:t xml:space="preserve">the </w:t>
      </w:r>
      <w:r w:rsidRPr="00993D07">
        <w:rPr>
          <w:rFonts w:cs="Arial"/>
          <w:sz w:val="20"/>
        </w:rPr>
        <w:t xml:space="preserve">fourteen boards. </w:t>
      </w:r>
    </w:p>
    <w:p w:rsidR="00FC1C5D" w:rsidRPr="00993D07" w:rsidRDefault="00FC1C5D" w:rsidP="00FC1C5D">
      <w:pPr>
        <w:pStyle w:val="DefaultText"/>
        <w:spacing w:line="260" w:lineRule="atLeast"/>
        <w:contextualSpacing/>
        <w:rPr>
          <w:rFonts w:cs="Arial"/>
          <w:sz w:val="20"/>
        </w:rPr>
      </w:pPr>
    </w:p>
    <w:p w:rsidR="00FC1C5D" w:rsidRPr="00993D07" w:rsidRDefault="00FC1C5D" w:rsidP="00FC1C5D">
      <w:pPr>
        <w:pStyle w:val="DefaultText"/>
        <w:spacing w:line="260" w:lineRule="atLeast"/>
        <w:contextualSpacing/>
        <w:rPr>
          <w:rFonts w:cs="Arial"/>
          <w:sz w:val="20"/>
        </w:rPr>
      </w:pPr>
      <w:r w:rsidRPr="00993D07">
        <w:rPr>
          <w:rFonts w:cs="Arial"/>
          <w:sz w:val="20"/>
        </w:rPr>
        <w:t xml:space="preserve">For the Medical Board it covers the last 3 weeks of the renewal period and the full month of the </w:t>
      </w:r>
      <w:r w:rsidR="000E4777">
        <w:rPr>
          <w:rFonts w:cs="Arial"/>
          <w:sz w:val="20"/>
        </w:rPr>
        <w:t>late</w:t>
      </w:r>
      <w:r w:rsidR="000E4777" w:rsidRPr="00993D07">
        <w:rPr>
          <w:rFonts w:cs="Arial"/>
          <w:sz w:val="20"/>
        </w:rPr>
        <w:t xml:space="preserve"> </w:t>
      </w:r>
      <w:r w:rsidRPr="00993D07">
        <w:rPr>
          <w:rFonts w:cs="Arial"/>
          <w:sz w:val="20"/>
        </w:rPr>
        <w:t xml:space="preserve">period.  For the allied health professions it includes the full renewal period and one week of the </w:t>
      </w:r>
      <w:r w:rsidR="000E4777">
        <w:rPr>
          <w:rFonts w:cs="Arial"/>
          <w:sz w:val="20"/>
        </w:rPr>
        <w:t>late</w:t>
      </w:r>
      <w:r w:rsidR="000E4777" w:rsidRPr="00993D07">
        <w:rPr>
          <w:rFonts w:cs="Arial"/>
          <w:sz w:val="20"/>
        </w:rPr>
        <w:t xml:space="preserve"> </w:t>
      </w:r>
      <w:r w:rsidRPr="00993D07">
        <w:rPr>
          <w:rFonts w:cs="Arial"/>
          <w:sz w:val="20"/>
        </w:rPr>
        <w:t xml:space="preserve">period.  However it excludes the entire renewal period and </w:t>
      </w:r>
      <w:r w:rsidR="000E4777">
        <w:rPr>
          <w:rFonts w:cs="Arial"/>
          <w:sz w:val="20"/>
        </w:rPr>
        <w:t>late</w:t>
      </w:r>
      <w:r w:rsidR="000E4777" w:rsidRPr="00993D07">
        <w:rPr>
          <w:rFonts w:cs="Arial"/>
          <w:sz w:val="20"/>
        </w:rPr>
        <w:t xml:space="preserve"> </w:t>
      </w:r>
      <w:r w:rsidRPr="00993D07">
        <w:rPr>
          <w:rFonts w:cs="Arial"/>
          <w:sz w:val="20"/>
        </w:rPr>
        <w:t xml:space="preserve">period for the Nursing and Midwifery Board of Australia.  </w:t>
      </w:r>
    </w:p>
    <w:p w:rsidR="00FC1C5D" w:rsidRPr="00993D07" w:rsidRDefault="00FC1C5D" w:rsidP="00FC1C5D">
      <w:pPr>
        <w:pStyle w:val="DefaultText"/>
        <w:spacing w:line="260" w:lineRule="atLeast"/>
        <w:contextualSpacing/>
        <w:rPr>
          <w:rFonts w:cs="Arial"/>
          <w:sz w:val="20"/>
        </w:rPr>
      </w:pPr>
    </w:p>
    <w:p w:rsidR="00FC1C5D" w:rsidRPr="00993D07" w:rsidRDefault="00FC1C5D" w:rsidP="00FC1C5D">
      <w:pPr>
        <w:pStyle w:val="DefaultText"/>
        <w:spacing w:line="260" w:lineRule="atLeast"/>
        <w:contextualSpacing/>
        <w:rPr>
          <w:rFonts w:cs="Arial"/>
          <w:sz w:val="20"/>
        </w:rPr>
      </w:pPr>
      <w:r w:rsidRPr="00993D07">
        <w:rPr>
          <w:rFonts w:cs="Arial"/>
          <w:sz w:val="20"/>
        </w:rPr>
        <w:t xml:space="preserve">Though not as complex as some renewal periods for other professions, the </w:t>
      </w:r>
      <w:r w:rsidR="003B55DC" w:rsidRPr="00993D07">
        <w:rPr>
          <w:rFonts w:cs="Arial"/>
          <w:sz w:val="20"/>
        </w:rPr>
        <w:t>Nursing and Mid</w:t>
      </w:r>
      <w:r w:rsidR="007850EB" w:rsidRPr="00993D07">
        <w:rPr>
          <w:rFonts w:cs="Arial"/>
          <w:sz w:val="20"/>
        </w:rPr>
        <w:t>w</w:t>
      </w:r>
      <w:r w:rsidR="003B55DC" w:rsidRPr="00993D07">
        <w:rPr>
          <w:rFonts w:cs="Arial"/>
          <w:sz w:val="20"/>
        </w:rPr>
        <w:t>ife</w:t>
      </w:r>
      <w:r w:rsidR="007850EB" w:rsidRPr="00993D07">
        <w:rPr>
          <w:rFonts w:cs="Arial"/>
          <w:sz w:val="20"/>
        </w:rPr>
        <w:t>ry</w:t>
      </w:r>
      <w:r w:rsidR="003B55DC" w:rsidRPr="00993D07">
        <w:rPr>
          <w:rFonts w:cs="Arial"/>
          <w:sz w:val="20"/>
        </w:rPr>
        <w:t xml:space="preserve"> registrants</w:t>
      </w:r>
      <w:r w:rsidRPr="00993D07">
        <w:rPr>
          <w:rFonts w:cs="Arial"/>
          <w:sz w:val="20"/>
        </w:rPr>
        <w:t xml:space="preserve"> include </w:t>
      </w:r>
      <w:r w:rsidR="00FD7F3F">
        <w:rPr>
          <w:rFonts w:cs="Arial"/>
          <w:sz w:val="20"/>
        </w:rPr>
        <w:t>63</w:t>
      </w:r>
      <w:r w:rsidRPr="00993D07">
        <w:rPr>
          <w:rFonts w:cs="Arial"/>
          <w:sz w:val="20"/>
        </w:rPr>
        <w:t>% of all practitioners registe</w:t>
      </w:r>
      <w:r w:rsidR="007850EB" w:rsidRPr="00993D07">
        <w:rPr>
          <w:rFonts w:cs="Arial"/>
          <w:sz w:val="20"/>
        </w:rPr>
        <w:t>re</w:t>
      </w:r>
      <w:r w:rsidRPr="00993D07">
        <w:rPr>
          <w:rFonts w:cs="Arial"/>
          <w:sz w:val="20"/>
        </w:rPr>
        <w:t xml:space="preserve">d under the National Scheme.  Due to the size and the materiality of the renewal period the data from the survey period may need to reflect what the impact would have </w:t>
      </w:r>
      <w:r w:rsidR="007850EB" w:rsidRPr="00993D07">
        <w:rPr>
          <w:rFonts w:cs="Arial"/>
          <w:sz w:val="20"/>
        </w:rPr>
        <w:t xml:space="preserve">otherwise </w:t>
      </w:r>
      <w:r w:rsidRPr="00993D07">
        <w:rPr>
          <w:rFonts w:cs="Arial"/>
          <w:sz w:val="20"/>
        </w:rPr>
        <w:t xml:space="preserve">been if the study </w:t>
      </w:r>
      <w:r w:rsidR="007850EB" w:rsidRPr="00993D07">
        <w:rPr>
          <w:rFonts w:cs="Arial"/>
          <w:sz w:val="20"/>
        </w:rPr>
        <w:t xml:space="preserve">had </w:t>
      </w:r>
      <w:r w:rsidRPr="00993D07">
        <w:rPr>
          <w:rFonts w:cs="Arial"/>
          <w:sz w:val="20"/>
        </w:rPr>
        <w:t>occurred during the renewal period.</w:t>
      </w:r>
    </w:p>
    <w:p w:rsidR="00FC1C5D" w:rsidRPr="00993D07" w:rsidRDefault="00FC1C5D" w:rsidP="00FC1C5D">
      <w:pPr>
        <w:pStyle w:val="DefaultText"/>
        <w:spacing w:line="260" w:lineRule="atLeast"/>
        <w:contextualSpacing/>
        <w:rPr>
          <w:rFonts w:cs="Arial"/>
          <w:sz w:val="20"/>
        </w:rPr>
      </w:pPr>
    </w:p>
    <w:p w:rsidR="00FC1C5D" w:rsidRPr="00993D07" w:rsidRDefault="00FC1C5D" w:rsidP="00FC1C5D">
      <w:pPr>
        <w:pStyle w:val="DefaultText"/>
        <w:spacing w:line="260" w:lineRule="atLeast"/>
        <w:contextualSpacing/>
        <w:rPr>
          <w:rFonts w:cs="Arial"/>
          <w:sz w:val="20"/>
        </w:rPr>
      </w:pPr>
      <w:r w:rsidRPr="00993D07">
        <w:rPr>
          <w:rFonts w:cs="Arial"/>
          <w:sz w:val="20"/>
        </w:rPr>
        <w:t xml:space="preserve">Therefore the data collected from the study period </w:t>
      </w:r>
      <w:r w:rsidR="00135EA4">
        <w:rPr>
          <w:rFonts w:cs="Arial"/>
          <w:b/>
          <w:sz w:val="20"/>
        </w:rPr>
        <w:t>are</w:t>
      </w:r>
      <w:r w:rsidR="00135EA4" w:rsidRPr="00993D07">
        <w:rPr>
          <w:rFonts w:cs="Arial"/>
          <w:b/>
          <w:sz w:val="20"/>
        </w:rPr>
        <w:t xml:space="preserve"> </w:t>
      </w:r>
      <w:r w:rsidRPr="00993D07">
        <w:rPr>
          <w:rFonts w:cs="Arial"/>
          <w:b/>
          <w:sz w:val="20"/>
        </w:rPr>
        <w:t>adjusted</w:t>
      </w:r>
      <w:r w:rsidRPr="00993D07">
        <w:rPr>
          <w:rFonts w:cs="Arial"/>
          <w:sz w:val="20"/>
        </w:rPr>
        <w:t xml:space="preserve"> from the current level of renewal activity collected as the impact on the survey data is likely to be material.</w:t>
      </w:r>
      <w:r w:rsidR="00DB6B30">
        <w:rPr>
          <w:rFonts w:cs="Arial"/>
          <w:sz w:val="20"/>
        </w:rPr>
        <w:t xml:space="preserve">  Column 2 in the table at Appendix 2 highlights the impact of this change against the base data.</w:t>
      </w:r>
    </w:p>
    <w:p w:rsidR="00065B7E" w:rsidRPr="00A863FD" w:rsidRDefault="007E5637" w:rsidP="00065B7E">
      <w:pPr>
        <w:pStyle w:val="Heading3"/>
        <w:rPr>
          <w:rFonts w:cs="Arial"/>
          <w:color w:val="00B0F0"/>
        </w:rPr>
      </w:pPr>
      <w:bookmarkStart w:id="26" w:name="_Toc346891249"/>
      <w:r w:rsidRPr="007E5637">
        <w:rPr>
          <w:rFonts w:cs="Arial"/>
          <w:color w:val="00B0F0"/>
        </w:rPr>
        <w:t xml:space="preserve">Staff </w:t>
      </w:r>
      <w:r w:rsidR="00416505">
        <w:rPr>
          <w:rFonts w:cs="Arial"/>
          <w:color w:val="00B0F0"/>
        </w:rPr>
        <w:t>Identified Primarily</w:t>
      </w:r>
      <w:r w:rsidRPr="007E5637">
        <w:rPr>
          <w:rFonts w:cs="Arial"/>
          <w:color w:val="00B0F0"/>
        </w:rPr>
        <w:t xml:space="preserve"> to a Specific Board</w:t>
      </w:r>
      <w:bookmarkEnd w:id="26"/>
      <w:r w:rsidR="005F741A">
        <w:rPr>
          <w:rFonts w:cs="Arial"/>
          <w:color w:val="00B0F0"/>
        </w:rPr>
        <w:t xml:space="preserve"> </w:t>
      </w:r>
    </w:p>
    <w:p w:rsidR="00065B7E" w:rsidRPr="00A863FD" w:rsidRDefault="005F741A" w:rsidP="00065B7E">
      <w:pPr>
        <w:pStyle w:val="DefaultText"/>
        <w:spacing w:line="260" w:lineRule="atLeast"/>
        <w:contextualSpacing/>
        <w:rPr>
          <w:rFonts w:cs="Arial"/>
          <w:sz w:val="20"/>
        </w:rPr>
      </w:pPr>
      <w:r>
        <w:rPr>
          <w:rFonts w:cs="Arial"/>
          <w:sz w:val="20"/>
        </w:rPr>
        <w:t>Staff employed by National Office</w:t>
      </w:r>
      <w:r w:rsidR="007E5637" w:rsidRPr="007E5637">
        <w:rPr>
          <w:rFonts w:cs="Arial"/>
          <w:sz w:val="20"/>
        </w:rPr>
        <w:t xml:space="preserve"> (and professional officers)</w:t>
      </w:r>
      <w:r w:rsidR="00065B7E" w:rsidRPr="00A863FD">
        <w:rPr>
          <w:rFonts w:cs="Arial"/>
          <w:sz w:val="20"/>
        </w:rPr>
        <w:t xml:space="preserve"> carrying out  activit</w:t>
      </w:r>
      <w:r w:rsidR="006B322F" w:rsidRPr="00A863FD">
        <w:rPr>
          <w:rFonts w:cs="Arial"/>
          <w:sz w:val="20"/>
        </w:rPr>
        <w:t>y</w:t>
      </w:r>
      <w:r>
        <w:rPr>
          <w:rFonts w:cs="Arial"/>
          <w:sz w:val="20"/>
        </w:rPr>
        <w:t xml:space="preserve"> for</w:t>
      </w:r>
      <w:r w:rsidR="00416505">
        <w:rPr>
          <w:rFonts w:cs="Arial"/>
          <w:sz w:val="20"/>
        </w:rPr>
        <w:t xml:space="preserve"> primarily a specific</w:t>
      </w:r>
      <w:r>
        <w:rPr>
          <w:rFonts w:cs="Arial"/>
          <w:sz w:val="20"/>
        </w:rPr>
        <w:t xml:space="preserve"> Board is not included in the survey data. </w:t>
      </w:r>
    </w:p>
    <w:p w:rsidR="00065B7E" w:rsidRPr="00A863FD" w:rsidRDefault="00065B7E" w:rsidP="00065B7E">
      <w:pPr>
        <w:pStyle w:val="DefaultText"/>
        <w:spacing w:line="260" w:lineRule="atLeast"/>
        <w:contextualSpacing/>
        <w:rPr>
          <w:rFonts w:cs="Arial"/>
          <w:sz w:val="20"/>
        </w:rPr>
      </w:pPr>
    </w:p>
    <w:p w:rsidR="00065B7E" w:rsidRPr="00993D07" w:rsidRDefault="005F741A" w:rsidP="00FC1C5D">
      <w:pPr>
        <w:pStyle w:val="DefaultText"/>
        <w:spacing w:line="260" w:lineRule="atLeast"/>
        <w:contextualSpacing/>
        <w:rPr>
          <w:rFonts w:cs="Arial"/>
          <w:sz w:val="20"/>
        </w:rPr>
      </w:pPr>
      <w:r>
        <w:rPr>
          <w:rFonts w:cs="Arial"/>
          <w:sz w:val="20"/>
        </w:rPr>
        <w:t xml:space="preserve">AHPRA employs in the National Board Services Division a number of Executive Officers and support staff who work </w:t>
      </w:r>
      <w:r w:rsidR="00416505">
        <w:rPr>
          <w:rFonts w:cs="Arial"/>
          <w:sz w:val="20"/>
        </w:rPr>
        <w:t>primarily</w:t>
      </w:r>
      <w:r>
        <w:rPr>
          <w:rFonts w:cs="Arial"/>
          <w:sz w:val="20"/>
        </w:rPr>
        <w:t xml:space="preserve"> for specific Boards.  To ensure that the final cost allocation is equitable, the impact of the hours worked and costs incurred by these staff </w:t>
      </w:r>
      <w:r>
        <w:rPr>
          <w:rFonts w:cs="Arial"/>
          <w:b/>
          <w:sz w:val="20"/>
        </w:rPr>
        <w:t>has been included</w:t>
      </w:r>
      <w:r>
        <w:rPr>
          <w:rFonts w:cs="Arial"/>
          <w:sz w:val="20"/>
        </w:rPr>
        <w:t xml:space="preserve"> in the model.</w:t>
      </w:r>
    </w:p>
    <w:p w:rsidR="00752A87" w:rsidRPr="00993D07" w:rsidRDefault="00752A87" w:rsidP="00CC5F54">
      <w:pPr>
        <w:pStyle w:val="Heading2"/>
      </w:pPr>
      <w:bookmarkStart w:id="27" w:name="_Toc346891250"/>
      <w:r w:rsidRPr="00993D07">
        <w:t>Adjustments Not Considered</w:t>
      </w:r>
      <w:bookmarkEnd w:id="27"/>
    </w:p>
    <w:p w:rsidR="00752A87" w:rsidRPr="00993D07" w:rsidRDefault="00752A87" w:rsidP="00752A87">
      <w:pPr>
        <w:pStyle w:val="DefaultText"/>
        <w:spacing w:line="260" w:lineRule="atLeast"/>
        <w:rPr>
          <w:rFonts w:cs="Arial"/>
          <w:sz w:val="20"/>
        </w:rPr>
      </w:pPr>
      <w:r w:rsidRPr="00993D07">
        <w:rPr>
          <w:rFonts w:cs="Arial"/>
          <w:sz w:val="20"/>
        </w:rPr>
        <w:t xml:space="preserve">The following </w:t>
      </w:r>
      <w:r w:rsidR="0031693E" w:rsidRPr="00993D07">
        <w:rPr>
          <w:rFonts w:cs="Arial"/>
          <w:sz w:val="20"/>
        </w:rPr>
        <w:t xml:space="preserve">issues have been considered by management but have not been adjusted within the </w:t>
      </w:r>
      <w:r w:rsidRPr="00993D07">
        <w:rPr>
          <w:rFonts w:cs="Arial"/>
          <w:sz w:val="20"/>
        </w:rPr>
        <w:t>model.</w:t>
      </w:r>
    </w:p>
    <w:p w:rsidR="0031693E" w:rsidRPr="00993D07" w:rsidRDefault="0031693E" w:rsidP="0031693E">
      <w:pPr>
        <w:pStyle w:val="Heading3"/>
        <w:rPr>
          <w:rFonts w:cs="Arial"/>
          <w:color w:val="00B0F0"/>
        </w:rPr>
      </w:pPr>
      <w:bookmarkStart w:id="28" w:name="_Toc346891251"/>
      <w:r w:rsidRPr="00993D07">
        <w:rPr>
          <w:rFonts w:cs="Arial"/>
          <w:color w:val="00B0F0"/>
        </w:rPr>
        <w:t>2012 Professions notification effort</w:t>
      </w:r>
      <w:bookmarkEnd w:id="28"/>
    </w:p>
    <w:p w:rsidR="0031693E" w:rsidRPr="00993D07" w:rsidRDefault="00DB6B30" w:rsidP="0031693E">
      <w:pPr>
        <w:pStyle w:val="Table-body"/>
        <w:spacing w:before="0" w:after="0" w:line="260" w:lineRule="atLeast"/>
        <w:jc w:val="both"/>
        <w:rPr>
          <w:rFonts w:ascii="Arial" w:hAnsi="Arial" w:cs="Arial"/>
        </w:rPr>
      </w:pPr>
      <w:r>
        <w:rPr>
          <w:rFonts w:ascii="Arial" w:hAnsi="Arial" w:cs="Arial"/>
        </w:rPr>
        <w:t xml:space="preserve">The entry of the 4 Boards to the National Scheme from 1 July 2012 means that we are in the early stages of data gathering for notification activity and impact.  </w:t>
      </w:r>
      <w:r w:rsidR="0031693E" w:rsidRPr="00993D07">
        <w:rPr>
          <w:rFonts w:ascii="Arial" w:hAnsi="Arial" w:cs="Arial"/>
        </w:rPr>
        <w:t xml:space="preserve">It is anticipated that the level of notification matters in 2012/13 will be below long-term averages as the professions are now regulated </w:t>
      </w:r>
      <w:r w:rsidR="00135EA4">
        <w:rPr>
          <w:rFonts w:ascii="Arial" w:hAnsi="Arial" w:cs="Arial"/>
        </w:rPr>
        <w:t>nationally</w:t>
      </w:r>
      <w:r>
        <w:rPr>
          <w:rFonts w:ascii="Arial" w:hAnsi="Arial" w:cs="Arial"/>
        </w:rPr>
        <w:t xml:space="preserve"> </w:t>
      </w:r>
      <w:r w:rsidR="0031693E" w:rsidRPr="00993D07">
        <w:rPr>
          <w:rFonts w:ascii="Arial" w:hAnsi="Arial" w:cs="Arial"/>
        </w:rPr>
        <w:t xml:space="preserve">for the first time.  History suggests that notification matters take some time to materialise (though there are transitional notification matters from legacy </w:t>
      </w:r>
      <w:r w:rsidR="006B322F" w:rsidRPr="00993D07">
        <w:rPr>
          <w:rFonts w:ascii="Arial" w:hAnsi="Arial" w:cs="Arial"/>
        </w:rPr>
        <w:t>B</w:t>
      </w:r>
      <w:r w:rsidR="0031693E" w:rsidRPr="00993D07">
        <w:rPr>
          <w:rFonts w:ascii="Arial" w:hAnsi="Arial" w:cs="Arial"/>
        </w:rPr>
        <w:t xml:space="preserve">oards where they existed in some jurisdictions). </w:t>
      </w:r>
    </w:p>
    <w:p w:rsidR="0031693E" w:rsidRPr="00993D07" w:rsidRDefault="0031693E" w:rsidP="0031693E">
      <w:pPr>
        <w:pStyle w:val="Table-body"/>
        <w:spacing w:before="0" w:after="0" w:line="260" w:lineRule="atLeast"/>
        <w:jc w:val="both"/>
        <w:rPr>
          <w:rFonts w:ascii="Arial" w:hAnsi="Arial" w:cs="Arial"/>
        </w:rPr>
      </w:pPr>
    </w:p>
    <w:p w:rsidR="0031693E" w:rsidRPr="00993D07" w:rsidRDefault="0031693E" w:rsidP="0031693E">
      <w:pPr>
        <w:pStyle w:val="Table-body"/>
        <w:spacing w:before="0" w:after="0" w:line="260" w:lineRule="atLeast"/>
        <w:jc w:val="both"/>
        <w:rPr>
          <w:rFonts w:ascii="Arial" w:hAnsi="Arial" w:cs="Arial"/>
        </w:rPr>
      </w:pPr>
      <w:r w:rsidRPr="00993D07">
        <w:rPr>
          <w:rFonts w:ascii="Arial" w:hAnsi="Arial" w:cs="Arial"/>
        </w:rPr>
        <w:t>It is difficult to forecast the period over which the long-term average for notification matters will occur</w:t>
      </w:r>
      <w:r w:rsidR="00F33C29">
        <w:rPr>
          <w:rFonts w:ascii="Arial" w:hAnsi="Arial" w:cs="Arial"/>
        </w:rPr>
        <w:t xml:space="preserve"> as there is limited historical data</w:t>
      </w:r>
      <w:r w:rsidRPr="00993D07">
        <w:rPr>
          <w:rFonts w:ascii="Arial" w:hAnsi="Arial" w:cs="Arial"/>
        </w:rPr>
        <w:t xml:space="preserve">.  It is expected the actual effort in 2013/14 will still be below the long term average.  </w:t>
      </w:r>
    </w:p>
    <w:p w:rsidR="0031693E" w:rsidRPr="00993D07" w:rsidRDefault="0031693E" w:rsidP="0031693E">
      <w:pPr>
        <w:pStyle w:val="Table-body"/>
        <w:spacing w:before="0" w:after="0" w:line="260" w:lineRule="atLeast"/>
        <w:jc w:val="both"/>
        <w:rPr>
          <w:rFonts w:ascii="Arial" w:hAnsi="Arial" w:cs="Arial"/>
        </w:rPr>
      </w:pPr>
    </w:p>
    <w:p w:rsidR="0031693E" w:rsidRPr="00993D07" w:rsidRDefault="0031693E" w:rsidP="0031693E">
      <w:pPr>
        <w:pStyle w:val="Table-body"/>
        <w:spacing w:before="0" w:after="0" w:line="260" w:lineRule="atLeast"/>
        <w:jc w:val="both"/>
        <w:rPr>
          <w:rFonts w:ascii="Arial" w:hAnsi="Arial" w:cs="Arial"/>
        </w:rPr>
      </w:pPr>
      <w:r w:rsidRPr="00993D07">
        <w:rPr>
          <w:rFonts w:ascii="Arial" w:hAnsi="Arial" w:cs="Arial"/>
        </w:rPr>
        <w:t xml:space="preserve">Therefore it is recommended the data collected from the study period </w:t>
      </w:r>
      <w:r w:rsidR="00AE0E20">
        <w:rPr>
          <w:rFonts w:ascii="Arial" w:hAnsi="Arial" w:cs="Arial"/>
        </w:rPr>
        <w:t>are</w:t>
      </w:r>
      <w:r w:rsidR="00AE0E20" w:rsidRPr="00993D07">
        <w:rPr>
          <w:rFonts w:ascii="Arial" w:hAnsi="Arial" w:cs="Arial"/>
        </w:rPr>
        <w:t xml:space="preserve"> </w:t>
      </w:r>
      <w:r w:rsidRPr="00993D07">
        <w:rPr>
          <w:rFonts w:ascii="Arial" w:hAnsi="Arial" w:cs="Arial"/>
          <w:b/>
        </w:rPr>
        <w:t>not adjusted</w:t>
      </w:r>
      <w:r w:rsidRPr="00993D07">
        <w:rPr>
          <w:rFonts w:ascii="Arial" w:hAnsi="Arial" w:cs="Arial"/>
        </w:rPr>
        <w:t xml:space="preserve"> from the current level of notification activity in the 2012 professions as there is insufficient data to estimate the long term average and the period it will take to achieve the long term average.</w:t>
      </w:r>
    </w:p>
    <w:p w:rsidR="0031693E" w:rsidRPr="00993D07" w:rsidRDefault="0031693E" w:rsidP="0031693E">
      <w:pPr>
        <w:pStyle w:val="Heading3"/>
        <w:rPr>
          <w:rFonts w:cs="Arial"/>
          <w:color w:val="00B0F0"/>
        </w:rPr>
      </w:pPr>
      <w:bookmarkStart w:id="29" w:name="_Toc346891252"/>
      <w:r w:rsidRPr="00993D07">
        <w:rPr>
          <w:rFonts w:cs="Arial"/>
          <w:color w:val="00B0F0"/>
        </w:rPr>
        <w:t>2012 Professions</w:t>
      </w:r>
      <w:r w:rsidR="003D5AD6" w:rsidRPr="00993D07">
        <w:rPr>
          <w:rFonts w:cs="Arial"/>
          <w:color w:val="00B0F0"/>
        </w:rPr>
        <w:t>’</w:t>
      </w:r>
      <w:r w:rsidRPr="00993D07">
        <w:rPr>
          <w:rFonts w:cs="Arial"/>
          <w:color w:val="00B0F0"/>
        </w:rPr>
        <w:t xml:space="preserve"> application </w:t>
      </w:r>
      <w:r w:rsidR="000312B4">
        <w:rPr>
          <w:rFonts w:cs="Arial"/>
          <w:color w:val="00B0F0"/>
        </w:rPr>
        <w:t xml:space="preserve">assessment and </w:t>
      </w:r>
      <w:r w:rsidRPr="00993D07">
        <w:rPr>
          <w:rFonts w:cs="Arial"/>
          <w:color w:val="00B0F0"/>
        </w:rPr>
        <w:t>processing transition effort</w:t>
      </w:r>
      <w:bookmarkEnd w:id="29"/>
      <w:r w:rsidRPr="00993D07">
        <w:rPr>
          <w:rFonts w:cs="Arial"/>
          <w:color w:val="00B0F0"/>
        </w:rPr>
        <w:t xml:space="preserve"> </w:t>
      </w:r>
    </w:p>
    <w:p w:rsidR="0031693E" w:rsidRPr="00993D07" w:rsidRDefault="0031693E" w:rsidP="0031693E">
      <w:pPr>
        <w:pStyle w:val="Table-body"/>
        <w:spacing w:before="0" w:after="0" w:line="260" w:lineRule="atLeast"/>
        <w:jc w:val="both"/>
        <w:rPr>
          <w:rFonts w:ascii="Arial" w:hAnsi="Arial" w:cs="Arial"/>
        </w:rPr>
      </w:pPr>
      <w:r w:rsidRPr="00993D07">
        <w:rPr>
          <w:rFonts w:ascii="Arial" w:hAnsi="Arial" w:cs="Arial"/>
        </w:rPr>
        <w:t xml:space="preserve">Applications for the </w:t>
      </w:r>
      <w:r w:rsidR="004F0239" w:rsidRPr="00993D07">
        <w:rPr>
          <w:rFonts w:ascii="Arial" w:hAnsi="Arial" w:cs="Arial"/>
        </w:rPr>
        <w:t xml:space="preserve">transitioning </w:t>
      </w:r>
      <w:r w:rsidRPr="00993D07">
        <w:rPr>
          <w:rFonts w:ascii="Arial" w:hAnsi="Arial" w:cs="Arial"/>
        </w:rPr>
        <w:t xml:space="preserve">2012 professions were to be received by 30 June 2012.  </w:t>
      </w:r>
    </w:p>
    <w:p w:rsidR="0031693E" w:rsidRPr="00993D07" w:rsidRDefault="0031693E" w:rsidP="0031693E">
      <w:pPr>
        <w:pStyle w:val="Table-body"/>
        <w:spacing w:before="0" w:after="0" w:line="260" w:lineRule="atLeast"/>
        <w:jc w:val="both"/>
        <w:rPr>
          <w:rFonts w:ascii="Arial" w:hAnsi="Arial" w:cs="Arial"/>
        </w:rPr>
      </w:pPr>
    </w:p>
    <w:p w:rsidR="0031693E" w:rsidRPr="00993D07" w:rsidRDefault="0031693E" w:rsidP="0031693E">
      <w:pPr>
        <w:pStyle w:val="Table-body"/>
        <w:spacing w:before="0" w:after="0" w:line="260" w:lineRule="atLeast"/>
        <w:jc w:val="both"/>
        <w:rPr>
          <w:rFonts w:ascii="Arial" w:hAnsi="Arial" w:cs="Arial"/>
        </w:rPr>
      </w:pPr>
      <w:r w:rsidRPr="00993D07">
        <w:rPr>
          <w:rFonts w:ascii="Arial" w:hAnsi="Arial" w:cs="Arial"/>
        </w:rPr>
        <w:t xml:space="preserve">The </w:t>
      </w:r>
      <w:r w:rsidR="00AE0E20">
        <w:rPr>
          <w:rFonts w:ascii="Arial" w:hAnsi="Arial" w:cs="Arial"/>
        </w:rPr>
        <w:t xml:space="preserve">assessment and </w:t>
      </w:r>
      <w:r w:rsidRPr="00993D07">
        <w:rPr>
          <w:rFonts w:ascii="Arial" w:hAnsi="Arial" w:cs="Arial"/>
        </w:rPr>
        <w:t xml:space="preserve">processing of the applications </w:t>
      </w:r>
      <w:r w:rsidR="00617E56" w:rsidRPr="00993D07">
        <w:rPr>
          <w:rFonts w:ascii="Arial" w:hAnsi="Arial" w:cs="Arial"/>
        </w:rPr>
        <w:t>for the transitioning Boards</w:t>
      </w:r>
      <w:r w:rsidR="003F4C1F">
        <w:rPr>
          <w:rFonts w:ascii="Arial" w:hAnsi="Arial" w:cs="Arial"/>
        </w:rPr>
        <w:t xml:space="preserve"> – </w:t>
      </w:r>
      <w:r w:rsidR="00617E56" w:rsidRPr="00993D07">
        <w:rPr>
          <w:rFonts w:ascii="Arial" w:hAnsi="Arial" w:cs="Arial"/>
        </w:rPr>
        <w:t>A</w:t>
      </w:r>
      <w:r w:rsidR="003C6916">
        <w:rPr>
          <w:rFonts w:ascii="Arial" w:hAnsi="Arial" w:cs="Arial"/>
        </w:rPr>
        <w:t xml:space="preserve">boriginal &amp; Torres Strait Islander Health </w:t>
      </w:r>
      <w:r w:rsidR="00AE0E20">
        <w:rPr>
          <w:rFonts w:ascii="Arial" w:hAnsi="Arial" w:cs="Arial"/>
        </w:rPr>
        <w:t xml:space="preserve">Practice </w:t>
      </w:r>
      <w:r w:rsidR="003C6916">
        <w:rPr>
          <w:rFonts w:ascii="Arial" w:hAnsi="Arial" w:cs="Arial"/>
        </w:rPr>
        <w:t xml:space="preserve">Board </w:t>
      </w:r>
      <w:r w:rsidR="00AE0E20">
        <w:rPr>
          <w:rFonts w:ascii="Arial" w:hAnsi="Arial" w:cs="Arial"/>
        </w:rPr>
        <w:t xml:space="preserve">of </w:t>
      </w:r>
      <w:r w:rsidR="003C6916">
        <w:rPr>
          <w:rFonts w:ascii="Arial" w:hAnsi="Arial" w:cs="Arial"/>
        </w:rPr>
        <w:t>Australia (ATSIHPBA)</w:t>
      </w:r>
      <w:r w:rsidR="00617E56" w:rsidRPr="00993D07">
        <w:rPr>
          <w:rFonts w:ascii="Arial" w:hAnsi="Arial" w:cs="Arial"/>
        </w:rPr>
        <w:t xml:space="preserve">, </w:t>
      </w:r>
      <w:r w:rsidR="003C6916">
        <w:rPr>
          <w:rFonts w:ascii="Arial" w:hAnsi="Arial" w:cs="Arial"/>
        </w:rPr>
        <w:t>Chinese Medicine Board Australia (CMBA)</w:t>
      </w:r>
      <w:r w:rsidR="00617E56" w:rsidRPr="00993D07">
        <w:rPr>
          <w:rFonts w:ascii="Arial" w:hAnsi="Arial" w:cs="Arial"/>
        </w:rPr>
        <w:t xml:space="preserve">, </w:t>
      </w:r>
      <w:r w:rsidR="003C6916">
        <w:rPr>
          <w:rFonts w:ascii="Arial" w:hAnsi="Arial" w:cs="Arial"/>
        </w:rPr>
        <w:t xml:space="preserve">Medical Radiation </w:t>
      </w:r>
      <w:r w:rsidR="00AE0E20">
        <w:rPr>
          <w:rFonts w:ascii="Arial" w:hAnsi="Arial" w:cs="Arial"/>
        </w:rPr>
        <w:t xml:space="preserve">Practice </w:t>
      </w:r>
      <w:r w:rsidR="003C6916">
        <w:rPr>
          <w:rFonts w:ascii="Arial" w:hAnsi="Arial" w:cs="Arial"/>
        </w:rPr>
        <w:t xml:space="preserve">Board </w:t>
      </w:r>
      <w:r w:rsidR="00AE0E20">
        <w:rPr>
          <w:rFonts w:ascii="Arial" w:hAnsi="Arial" w:cs="Arial"/>
        </w:rPr>
        <w:t xml:space="preserve">of </w:t>
      </w:r>
      <w:r w:rsidR="003C6916">
        <w:rPr>
          <w:rFonts w:ascii="Arial" w:hAnsi="Arial" w:cs="Arial"/>
        </w:rPr>
        <w:t>Australia (MRPBA)</w:t>
      </w:r>
      <w:r w:rsidR="00617E56" w:rsidRPr="00993D07">
        <w:rPr>
          <w:rFonts w:ascii="Arial" w:hAnsi="Arial" w:cs="Arial"/>
        </w:rPr>
        <w:t>, O</w:t>
      </w:r>
      <w:r w:rsidR="003C6916">
        <w:rPr>
          <w:rFonts w:ascii="Arial" w:hAnsi="Arial" w:cs="Arial"/>
        </w:rPr>
        <w:t xml:space="preserve">ccupational Therapy Board </w:t>
      </w:r>
      <w:r w:rsidR="00AE0E20">
        <w:rPr>
          <w:rFonts w:ascii="Arial" w:hAnsi="Arial" w:cs="Arial"/>
        </w:rPr>
        <w:t xml:space="preserve">of </w:t>
      </w:r>
      <w:r w:rsidR="003C6916">
        <w:rPr>
          <w:rFonts w:ascii="Arial" w:hAnsi="Arial" w:cs="Arial"/>
        </w:rPr>
        <w:t>Australia (OTBA</w:t>
      </w:r>
      <w:r w:rsidR="00617E56" w:rsidRPr="00993D07">
        <w:rPr>
          <w:rFonts w:ascii="Arial" w:hAnsi="Arial" w:cs="Arial"/>
        </w:rPr>
        <w:t xml:space="preserve">) </w:t>
      </w:r>
      <w:r w:rsidRPr="00993D07">
        <w:rPr>
          <w:rFonts w:ascii="Arial" w:hAnsi="Arial" w:cs="Arial"/>
        </w:rPr>
        <w:t xml:space="preserve">continued beyond 30 June 2012 with the majority of the </w:t>
      </w:r>
      <w:r w:rsidR="000312B4">
        <w:rPr>
          <w:rFonts w:ascii="Arial" w:hAnsi="Arial" w:cs="Arial"/>
        </w:rPr>
        <w:t>workload</w:t>
      </w:r>
      <w:r w:rsidR="000312B4" w:rsidRPr="00993D07">
        <w:rPr>
          <w:rFonts w:ascii="Arial" w:hAnsi="Arial" w:cs="Arial"/>
        </w:rPr>
        <w:t xml:space="preserve"> </w:t>
      </w:r>
      <w:r w:rsidRPr="00993D07">
        <w:rPr>
          <w:rFonts w:ascii="Arial" w:hAnsi="Arial" w:cs="Arial"/>
        </w:rPr>
        <w:t xml:space="preserve">completed by 30 September 2012 (except for Chinese Medicine where the work load </w:t>
      </w:r>
      <w:r w:rsidR="00D71262" w:rsidRPr="00993D07">
        <w:rPr>
          <w:rFonts w:ascii="Arial" w:hAnsi="Arial" w:cs="Arial"/>
        </w:rPr>
        <w:t xml:space="preserve">was </w:t>
      </w:r>
      <w:r w:rsidRPr="00993D07">
        <w:rPr>
          <w:rFonts w:ascii="Arial" w:hAnsi="Arial" w:cs="Arial"/>
        </w:rPr>
        <w:t xml:space="preserve">completed by 31 December 2012).  </w:t>
      </w:r>
    </w:p>
    <w:p w:rsidR="0031693E" w:rsidRPr="00993D07" w:rsidRDefault="0031693E" w:rsidP="0031693E">
      <w:pPr>
        <w:pStyle w:val="Table-body"/>
        <w:spacing w:before="0" w:after="0" w:line="260" w:lineRule="atLeast"/>
        <w:jc w:val="both"/>
        <w:rPr>
          <w:rFonts w:ascii="Arial" w:hAnsi="Arial" w:cs="Arial"/>
        </w:rPr>
      </w:pPr>
    </w:p>
    <w:p w:rsidR="0031693E" w:rsidRPr="00993D07" w:rsidRDefault="0031693E" w:rsidP="0031693E">
      <w:pPr>
        <w:pStyle w:val="Table-body"/>
        <w:spacing w:before="0" w:after="0" w:line="260" w:lineRule="atLeast"/>
        <w:jc w:val="both"/>
        <w:rPr>
          <w:rFonts w:ascii="Arial" w:hAnsi="Arial" w:cs="Arial"/>
        </w:rPr>
      </w:pPr>
      <w:r w:rsidRPr="00993D07">
        <w:rPr>
          <w:rFonts w:ascii="Arial" w:hAnsi="Arial" w:cs="Arial"/>
        </w:rPr>
        <w:t>The survey period included 3 weeks of this work</w:t>
      </w:r>
      <w:r w:rsidR="00617E56" w:rsidRPr="00993D07">
        <w:rPr>
          <w:rFonts w:ascii="Arial" w:hAnsi="Arial" w:cs="Arial"/>
        </w:rPr>
        <w:t xml:space="preserve"> for ATSIHPBA, MRPBA and OTBA</w:t>
      </w:r>
      <w:r w:rsidRPr="00993D07">
        <w:rPr>
          <w:rFonts w:ascii="Arial" w:hAnsi="Arial" w:cs="Arial"/>
        </w:rPr>
        <w:t xml:space="preserve"> and the entire survey period for </w:t>
      </w:r>
      <w:r w:rsidR="00617E56" w:rsidRPr="00993D07">
        <w:rPr>
          <w:rFonts w:ascii="Arial" w:hAnsi="Arial" w:cs="Arial"/>
        </w:rPr>
        <w:t>CMBA</w:t>
      </w:r>
      <w:r w:rsidRPr="00993D07">
        <w:rPr>
          <w:rFonts w:ascii="Arial" w:hAnsi="Arial" w:cs="Arial"/>
        </w:rPr>
        <w:t xml:space="preserve">.  For the </w:t>
      </w:r>
      <w:r w:rsidR="00617E56" w:rsidRPr="00993D07">
        <w:rPr>
          <w:rFonts w:ascii="Arial" w:hAnsi="Arial" w:cs="Arial"/>
        </w:rPr>
        <w:t>ATSIHPBA, MRPBA and OTBA</w:t>
      </w:r>
      <w:r w:rsidRPr="00993D07">
        <w:rPr>
          <w:rFonts w:ascii="Arial" w:hAnsi="Arial" w:cs="Arial"/>
        </w:rPr>
        <w:t xml:space="preserve"> the data shows only a marginal increase in total effort for these 3 weeks compared to the entire study period.  In addition the workload relating to </w:t>
      </w:r>
      <w:r w:rsidR="00617E56" w:rsidRPr="00993D07">
        <w:rPr>
          <w:rFonts w:ascii="Arial" w:hAnsi="Arial" w:cs="Arial"/>
        </w:rPr>
        <w:t>CMBA</w:t>
      </w:r>
      <w:r w:rsidRPr="00993D07">
        <w:rPr>
          <w:rFonts w:ascii="Arial" w:hAnsi="Arial" w:cs="Arial"/>
        </w:rPr>
        <w:t xml:space="preserve"> occurred in the South Australia office which was not included in the survey sample, therefore not impacting on the sample results.</w:t>
      </w:r>
    </w:p>
    <w:p w:rsidR="0031693E" w:rsidRPr="00993D07" w:rsidRDefault="0031693E" w:rsidP="0031693E">
      <w:pPr>
        <w:pStyle w:val="Table-body"/>
        <w:spacing w:before="0" w:after="0" w:line="260" w:lineRule="atLeast"/>
        <w:jc w:val="both"/>
        <w:rPr>
          <w:rFonts w:ascii="Arial" w:hAnsi="Arial" w:cs="Arial"/>
        </w:rPr>
      </w:pPr>
    </w:p>
    <w:p w:rsidR="0031693E" w:rsidRPr="00993D07" w:rsidRDefault="0031693E" w:rsidP="0031693E">
      <w:pPr>
        <w:pStyle w:val="Table-body"/>
        <w:spacing w:before="0" w:after="0" w:line="260" w:lineRule="atLeast"/>
        <w:jc w:val="both"/>
        <w:rPr>
          <w:rFonts w:ascii="Arial" w:hAnsi="Arial" w:cs="Arial"/>
        </w:rPr>
      </w:pPr>
      <w:r w:rsidRPr="00993D07">
        <w:rPr>
          <w:rFonts w:ascii="Arial" w:hAnsi="Arial" w:cs="Arial"/>
        </w:rPr>
        <w:t xml:space="preserve">Therefore it is recommended the data collected from the study period </w:t>
      </w:r>
      <w:r w:rsidR="00AE0E20">
        <w:rPr>
          <w:rFonts w:ascii="Arial" w:hAnsi="Arial" w:cs="Arial"/>
        </w:rPr>
        <w:t>are</w:t>
      </w:r>
      <w:r w:rsidR="00AE0E20" w:rsidRPr="00993D07">
        <w:rPr>
          <w:rFonts w:ascii="Arial" w:hAnsi="Arial" w:cs="Arial"/>
        </w:rPr>
        <w:t xml:space="preserve"> </w:t>
      </w:r>
      <w:r w:rsidRPr="00993D07">
        <w:rPr>
          <w:rFonts w:ascii="Arial" w:hAnsi="Arial" w:cs="Arial"/>
          <w:b/>
        </w:rPr>
        <w:t>not adjusted</w:t>
      </w:r>
      <w:r w:rsidRPr="00993D07">
        <w:rPr>
          <w:rFonts w:ascii="Arial" w:hAnsi="Arial" w:cs="Arial"/>
        </w:rPr>
        <w:t xml:space="preserve"> from the current level of application processing activity in the 2012 professions as the impact is either marginal or excluded from the data sample.</w:t>
      </w:r>
    </w:p>
    <w:p w:rsidR="0031693E" w:rsidRPr="00993D07" w:rsidRDefault="0031693E" w:rsidP="0031693E">
      <w:pPr>
        <w:pStyle w:val="Heading3"/>
        <w:rPr>
          <w:rFonts w:cs="Arial"/>
          <w:color w:val="00B0F0"/>
        </w:rPr>
      </w:pPr>
      <w:bookmarkStart w:id="30" w:name="_Toc346891253"/>
      <w:r w:rsidRPr="00993D07">
        <w:rPr>
          <w:rFonts w:cs="Arial"/>
          <w:color w:val="00B0F0"/>
        </w:rPr>
        <w:t>2012 Queensland Notification Project</w:t>
      </w:r>
      <w:bookmarkEnd w:id="30"/>
      <w:r w:rsidRPr="00993D07">
        <w:rPr>
          <w:rFonts w:cs="Arial"/>
          <w:color w:val="00B0F0"/>
        </w:rPr>
        <w:t xml:space="preserve"> </w:t>
      </w:r>
    </w:p>
    <w:p w:rsidR="0031693E" w:rsidRPr="00993D07" w:rsidRDefault="0031693E" w:rsidP="0031693E">
      <w:pPr>
        <w:pStyle w:val="Table-body"/>
        <w:spacing w:before="0" w:after="0" w:line="260" w:lineRule="atLeast"/>
        <w:jc w:val="both"/>
        <w:rPr>
          <w:rFonts w:ascii="Arial" w:hAnsi="Arial" w:cs="Arial"/>
        </w:rPr>
      </w:pPr>
      <w:r w:rsidRPr="00993D07">
        <w:rPr>
          <w:rFonts w:ascii="Arial" w:hAnsi="Arial" w:cs="Arial"/>
        </w:rPr>
        <w:t xml:space="preserve">Queensland currently </w:t>
      </w:r>
      <w:r w:rsidR="00D71262" w:rsidRPr="00993D07">
        <w:rPr>
          <w:rFonts w:ascii="Arial" w:hAnsi="Arial" w:cs="Arial"/>
        </w:rPr>
        <w:t xml:space="preserve">has </w:t>
      </w:r>
      <w:r w:rsidRPr="00993D07">
        <w:rPr>
          <w:rFonts w:ascii="Arial" w:hAnsi="Arial" w:cs="Arial"/>
        </w:rPr>
        <w:t xml:space="preserve">a level of notification matters which </w:t>
      </w:r>
      <w:r w:rsidR="000312B4">
        <w:rPr>
          <w:rFonts w:ascii="Arial" w:hAnsi="Arial" w:cs="Arial"/>
        </w:rPr>
        <w:t>may</w:t>
      </w:r>
      <w:r w:rsidRPr="00993D07">
        <w:rPr>
          <w:rFonts w:ascii="Arial" w:hAnsi="Arial" w:cs="Arial"/>
        </w:rPr>
        <w:t xml:space="preserve"> be higher than the long term average and extra resources have been allocated to ensure the higher level is reduced to a sustainable level.  </w:t>
      </w:r>
    </w:p>
    <w:p w:rsidR="0031693E" w:rsidRPr="00993D07" w:rsidRDefault="0031693E" w:rsidP="0031693E">
      <w:pPr>
        <w:pStyle w:val="Table-body"/>
        <w:spacing w:before="0" w:after="0" w:line="260" w:lineRule="atLeast"/>
        <w:jc w:val="both"/>
        <w:rPr>
          <w:rFonts w:ascii="Arial" w:hAnsi="Arial" w:cs="Arial"/>
        </w:rPr>
      </w:pPr>
    </w:p>
    <w:p w:rsidR="0031693E" w:rsidRPr="00993D07" w:rsidRDefault="0031693E" w:rsidP="0031693E">
      <w:pPr>
        <w:pStyle w:val="Table-body"/>
        <w:spacing w:before="0" w:after="0" w:line="260" w:lineRule="atLeast"/>
        <w:jc w:val="both"/>
        <w:rPr>
          <w:rFonts w:ascii="Arial" w:hAnsi="Arial" w:cs="Arial"/>
        </w:rPr>
      </w:pPr>
      <w:r w:rsidRPr="00993D07">
        <w:rPr>
          <w:rFonts w:ascii="Arial" w:hAnsi="Arial" w:cs="Arial"/>
        </w:rPr>
        <w:t xml:space="preserve">This effort relates to only the notification section in Queensland.  Given the notification team in Queensland were not included in the survey sample the data collected from the survey will be unaffected by this higher work load. </w:t>
      </w:r>
    </w:p>
    <w:p w:rsidR="0031693E" w:rsidRPr="00993D07" w:rsidRDefault="0031693E" w:rsidP="0031693E">
      <w:pPr>
        <w:pStyle w:val="Table-body"/>
        <w:spacing w:before="0" w:after="0" w:line="260" w:lineRule="atLeast"/>
        <w:jc w:val="both"/>
        <w:rPr>
          <w:rFonts w:ascii="Arial" w:hAnsi="Arial" w:cs="Arial"/>
        </w:rPr>
      </w:pPr>
    </w:p>
    <w:p w:rsidR="0031693E" w:rsidRPr="00993D07" w:rsidRDefault="0031693E" w:rsidP="0031693E">
      <w:pPr>
        <w:pStyle w:val="Table-body"/>
        <w:spacing w:before="0" w:after="0" w:line="260" w:lineRule="atLeast"/>
        <w:jc w:val="both"/>
        <w:rPr>
          <w:rFonts w:ascii="Arial" w:hAnsi="Arial" w:cs="Arial"/>
        </w:rPr>
      </w:pPr>
      <w:r w:rsidRPr="00993D07">
        <w:rPr>
          <w:rFonts w:ascii="Arial" w:hAnsi="Arial" w:cs="Arial"/>
        </w:rPr>
        <w:t xml:space="preserve">Therefore it is recommended the data collected from the study period </w:t>
      </w:r>
      <w:r w:rsidR="00AE0E20">
        <w:rPr>
          <w:rFonts w:ascii="Arial" w:hAnsi="Arial" w:cs="Arial"/>
        </w:rPr>
        <w:t>are</w:t>
      </w:r>
      <w:r w:rsidR="00AE0E20" w:rsidRPr="00993D07">
        <w:rPr>
          <w:rFonts w:ascii="Arial" w:hAnsi="Arial" w:cs="Arial"/>
        </w:rPr>
        <w:t xml:space="preserve"> </w:t>
      </w:r>
      <w:r w:rsidRPr="00993D07">
        <w:rPr>
          <w:rFonts w:ascii="Arial" w:hAnsi="Arial" w:cs="Arial"/>
          <w:b/>
        </w:rPr>
        <w:t>not adjusted</w:t>
      </w:r>
      <w:r w:rsidRPr="00993D07">
        <w:rPr>
          <w:rFonts w:ascii="Arial" w:hAnsi="Arial" w:cs="Arial"/>
        </w:rPr>
        <w:t xml:space="preserve"> from the current level of notification activity as the impact is excluded from the data sample.</w:t>
      </w:r>
      <w:r w:rsidR="00D71262" w:rsidRPr="00993D07">
        <w:rPr>
          <w:rFonts w:ascii="Arial" w:hAnsi="Arial" w:cs="Arial"/>
        </w:rPr>
        <w:t xml:space="preserve">  If it is determined that the notification work load results in a permanent increase in staffing, that will be reflected in subsequent allocation studies.</w:t>
      </w:r>
    </w:p>
    <w:p w:rsidR="0031693E" w:rsidRPr="00993D07" w:rsidRDefault="0016582D" w:rsidP="0031693E">
      <w:pPr>
        <w:pStyle w:val="Heading3"/>
        <w:rPr>
          <w:rFonts w:cs="Arial"/>
          <w:color w:val="00B0F0"/>
        </w:rPr>
      </w:pPr>
      <w:bookmarkStart w:id="31" w:name="_Toc346891254"/>
      <w:r w:rsidRPr="00993D07">
        <w:rPr>
          <w:rFonts w:cs="Arial"/>
          <w:color w:val="00B0F0"/>
        </w:rPr>
        <w:t>Pharmacy Examinations</w:t>
      </w:r>
      <w:bookmarkEnd w:id="31"/>
    </w:p>
    <w:p w:rsidR="0016582D" w:rsidRPr="00993D07" w:rsidRDefault="0031693E" w:rsidP="0031693E">
      <w:pPr>
        <w:pStyle w:val="Table-body"/>
        <w:spacing w:before="0" w:after="0" w:line="260" w:lineRule="atLeast"/>
        <w:jc w:val="both"/>
        <w:rPr>
          <w:rFonts w:ascii="Arial" w:hAnsi="Arial" w:cs="Arial"/>
        </w:rPr>
      </w:pPr>
      <w:r w:rsidRPr="00993D07">
        <w:rPr>
          <w:rFonts w:ascii="Arial" w:hAnsi="Arial" w:cs="Arial"/>
        </w:rPr>
        <w:t xml:space="preserve">The </w:t>
      </w:r>
      <w:r w:rsidR="0016582D" w:rsidRPr="00993D07">
        <w:rPr>
          <w:rFonts w:ascii="Arial" w:hAnsi="Arial" w:cs="Arial"/>
        </w:rPr>
        <w:t>increased</w:t>
      </w:r>
      <w:r w:rsidRPr="00993D07">
        <w:rPr>
          <w:rFonts w:ascii="Arial" w:hAnsi="Arial" w:cs="Arial"/>
        </w:rPr>
        <w:t xml:space="preserve"> effort required by AHPRA staff to organise</w:t>
      </w:r>
      <w:r w:rsidR="0016582D" w:rsidRPr="00993D07">
        <w:rPr>
          <w:rFonts w:ascii="Arial" w:hAnsi="Arial" w:cs="Arial"/>
        </w:rPr>
        <w:t xml:space="preserve"> </w:t>
      </w:r>
      <w:r w:rsidR="00007907" w:rsidRPr="00993D07">
        <w:rPr>
          <w:rFonts w:ascii="Arial" w:hAnsi="Arial" w:cs="Arial"/>
        </w:rPr>
        <w:t>p</w:t>
      </w:r>
      <w:r w:rsidRPr="00993D07">
        <w:rPr>
          <w:rFonts w:ascii="Arial" w:hAnsi="Arial" w:cs="Arial"/>
        </w:rPr>
        <w:t xml:space="preserve">harmacy </w:t>
      </w:r>
      <w:r w:rsidR="00007907" w:rsidRPr="00993D07">
        <w:rPr>
          <w:rFonts w:ascii="Arial" w:hAnsi="Arial" w:cs="Arial"/>
        </w:rPr>
        <w:t>e</w:t>
      </w:r>
      <w:r w:rsidRPr="00993D07">
        <w:rPr>
          <w:rFonts w:ascii="Arial" w:hAnsi="Arial" w:cs="Arial"/>
        </w:rPr>
        <w:t>xam</w:t>
      </w:r>
      <w:r w:rsidR="0016582D" w:rsidRPr="00993D07">
        <w:rPr>
          <w:rFonts w:ascii="Arial" w:hAnsi="Arial" w:cs="Arial"/>
        </w:rPr>
        <w:t xml:space="preserve">inations (in comparison to the other 13 Boards) </w:t>
      </w:r>
      <w:r w:rsidRPr="00993D07">
        <w:rPr>
          <w:rFonts w:ascii="Arial" w:hAnsi="Arial" w:cs="Arial"/>
        </w:rPr>
        <w:t xml:space="preserve">is considerable throughout the year </w:t>
      </w:r>
      <w:r w:rsidR="0016582D" w:rsidRPr="00993D07">
        <w:rPr>
          <w:rFonts w:ascii="Arial" w:hAnsi="Arial" w:cs="Arial"/>
        </w:rPr>
        <w:t>as there are</w:t>
      </w:r>
      <w:r w:rsidRPr="00993D07">
        <w:rPr>
          <w:rFonts w:ascii="Arial" w:hAnsi="Arial" w:cs="Arial"/>
        </w:rPr>
        <w:t xml:space="preserve"> 3 distinct periods for the actual exams</w:t>
      </w:r>
      <w:r w:rsidR="0016582D" w:rsidRPr="00993D07">
        <w:rPr>
          <w:rFonts w:ascii="Arial" w:hAnsi="Arial" w:cs="Arial"/>
        </w:rPr>
        <w:t xml:space="preserve"> (</w:t>
      </w:r>
      <w:r w:rsidR="00617E56" w:rsidRPr="00993D07">
        <w:rPr>
          <w:rFonts w:ascii="Arial" w:hAnsi="Arial" w:cs="Arial"/>
        </w:rPr>
        <w:t>other Boards do not currently conduct exams</w:t>
      </w:r>
      <w:r w:rsidR="0016582D" w:rsidRPr="00993D07">
        <w:rPr>
          <w:rFonts w:ascii="Arial" w:hAnsi="Arial" w:cs="Arial"/>
        </w:rPr>
        <w:t>)</w:t>
      </w:r>
      <w:r w:rsidRPr="00993D07">
        <w:rPr>
          <w:rFonts w:ascii="Arial" w:hAnsi="Arial" w:cs="Arial"/>
        </w:rPr>
        <w:t xml:space="preserve">.  The survey period included part of one of these </w:t>
      </w:r>
      <w:r w:rsidR="0016582D" w:rsidRPr="00993D07">
        <w:rPr>
          <w:rFonts w:ascii="Arial" w:hAnsi="Arial" w:cs="Arial"/>
        </w:rPr>
        <w:t xml:space="preserve">examination </w:t>
      </w:r>
      <w:r w:rsidRPr="00993D07">
        <w:rPr>
          <w:rFonts w:ascii="Arial" w:hAnsi="Arial" w:cs="Arial"/>
        </w:rPr>
        <w:t xml:space="preserve">periods. </w:t>
      </w:r>
    </w:p>
    <w:p w:rsidR="0016582D" w:rsidRPr="00993D07" w:rsidRDefault="0016582D" w:rsidP="0031693E">
      <w:pPr>
        <w:pStyle w:val="Table-body"/>
        <w:spacing w:before="0" w:after="0" w:line="260" w:lineRule="atLeast"/>
        <w:jc w:val="both"/>
        <w:rPr>
          <w:rFonts w:ascii="Arial" w:hAnsi="Arial" w:cs="Arial"/>
        </w:rPr>
      </w:pPr>
    </w:p>
    <w:p w:rsidR="00993D07" w:rsidRDefault="0031693E" w:rsidP="00CF1FA5">
      <w:pPr>
        <w:pStyle w:val="Table-body"/>
        <w:spacing w:before="0" w:after="0" w:line="260" w:lineRule="atLeast"/>
        <w:jc w:val="both"/>
        <w:rPr>
          <w:rFonts w:ascii="Arial" w:hAnsi="Arial" w:cs="Arial"/>
        </w:rPr>
      </w:pPr>
      <w:r w:rsidRPr="00993D07">
        <w:rPr>
          <w:rFonts w:ascii="Arial" w:hAnsi="Arial" w:cs="Arial"/>
        </w:rPr>
        <w:t xml:space="preserve">There is no evidence to suggest that the survey period included a particularly high or particularly low effort relating to </w:t>
      </w:r>
      <w:r w:rsidR="00007907" w:rsidRPr="00993D07">
        <w:rPr>
          <w:rFonts w:ascii="Arial" w:hAnsi="Arial" w:cs="Arial"/>
        </w:rPr>
        <w:t>p</w:t>
      </w:r>
      <w:r w:rsidRPr="00993D07">
        <w:rPr>
          <w:rFonts w:ascii="Arial" w:hAnsi="Arial" w:cs="Arial"/>
        </w:rPr>
        <w:t>harmacy exams</w:t>
      </w:r>
      <w:r w:rsidR="00CF1FA5">
        <w:rPr>
          <w:rFonts w:ascii="Arial" w:hAnsi="Arial" w:cs="Arial"/>
        </w:rPr>
        <w:t>.</w:t>
      </w:r>
    </w:p>
    <w:p w:rsidR="00CF1FA5" w:rsidRDefault="00CF1FA5" w:rsidP="00CF1FA5">
      <w:pPr>
        <w:pStyle w:val="Table-body"/>
        <w:spacing w:before="0" w:after="0" w:line="260" w:lineRule="atLeast"/>
        <w:jc w:val="both"/>
        <w:rPr>
          <w:rFonts w:cs="Arial"/>
        </w:rPr>
      </w:pPr>
    </w:p>
    <w:p w:rsidR="0031693E" w:rsidRPr="00993D07" w:rsidRDefault="0031693E" w:rsidP="0031693E">
      <w:pPr>
        <w:pStyle w:val="Table-body"/>
        <w:spacing w:before="0" w:after="0" w:line="260" w:lineRule="atLeast"/>
        <w:jc w:val="both"/>
        <w:rPr>
          <w:rFonts w:ascii="Arial" w:hAnsi="Arial" w:cs="Arial"/>
        </w:rPr>
      </w:pPr>
      <w:r w:rsidRPr="00993D07">
        <w:rPr>
          <w:rFonts w:ascii="Arial" w:hAnsi="Arial" w:cs="Arial"/>
        </w:rPr>
        <w:t xml:space="preserve">Therefore it is recommended </w:t>
      </w:r>
      <w:r w:rsidR="003F4C1F">
        <w:rPr>
          <w:rFonts w:ascii="Arial" w:hAnsi="Arial" w:cs="Arial"/>
        </w:rPr>
        <w:t xml:space="preserve">that </w:t>
      </w:r>
      <w:r w:rsidRPr="00993D07">
        <w:rPr>
          <w:rFonts w:ascii="Arial" w:hAnsi="Arial" w:cs="Arial"/>
        </w:rPr>
        <w:t xml:space="preserve">the data collected from the study period </w:t>
      </w:r>
      <w:r w:rsidR="00AE0E20">
        <w:rPr>
          <w:rFonts w:ascii="Arial" w:hAnsi="Arial" w:cs="Arial"/>
        </w:rPr>
        <w:t>are</w:t>
      </w:r>
      <w:r w:rsidR="00AE0E20" w:rsidRPr="00993D07">
        <w:rPr>
          <w:rFonts w:ascii="Arial" w:hAnsi="Arial" w:cs="Arial"/>
        </w:rPr>
        <w:t xml:space="preserve"> </w:t>
      </w:r>
      <w:r w:rsidRPr="00993D07">
        <w:rPr>
          <w:rFonts w:ascii="Arial" w:hAnsi="Arial" w:cs="Arial"/>
          <w:b/>
        </w:rPr>
        <w:t>not adjusted</w:t>
      </w:r>
      <w:r w:rsidRPr="00993D07">
        <w:rPr>
          <w:rFonts w:ascii="Arial" w:hAnsi="Arial" w:cs="Arial"/>
        </w:rPr>
        <w:t xml:space="preserve"> for any </w:t>
      </w:r>
      <w:r w:rsidR="0016582D" w:rsidRPr="00993D07">
        <w:rPr>
          <w:rFonts w:ascii="Arial" w:hAnsi="Arial" w:cs="Arial"/>
        </w:rPr>
        <w:t>seasonality</w:t>
      </w:r>
      <w:r w:rsidRPr="00993D07">
        <w:rPr>
          <w:rFonts w:ascii="Arial" w:hAnsi="Arial" w:cs="Arial"/>
        </w:rPr>
        <w:t xml:space="preserve"> </w:t>
      </w:r>
      <w:r w:rsidR="0016582D" w:rsidRPr="00993D07">
        <w:rPr>
          <w:rFonts w:ascii="Arial" w:hAnsi="Arial" w:cs="Arial"/>
        </w:rPr>
        <w:t>of Pharmacy exams as this activity is captured reasonably within the timesheet collation period.</w:t>
      </w:r>
      <w:r w:rsidR="00947E83" w:rsidRPr="00993D07">
        <w:rPr>
          <w:rFonts w:ascii="Arial" w:hAnsi="Arial" w:cs="Arial"/>
        </w:rPr>
        <w:t xml:space="preserve">  We also note that specific staff identified within Board Services </w:t>
      </w:r>
      <w:r w:rsidR="00303108" w:rsidRPr="00993D07">
        <w:rPr>
          <w:rFonts w:ascii="Arial" w:hAnsi="Arial" w:cs="Arial"/>
        </w:rPr>
        <w:t>allocated to the pharmacy examination process have been captured in the direct cost overlay to ensure accuracy and fairness to all Boards.</w:t>
      </w:r>
    </w:p>
    <w:p w:rsidR="0031693E" w:rsidRPr="00993D07" w:rsidRDefault="0031693E" w:rsidP="0016582D">
      <w:pPr>
        <w:pStyle w:val="Heading3"/>
        <w:rPr>
          <w:rFonts w:cs="Arial"/>
          <w:color w:val="00B0F0"/>
        </w:rPr>
      </w:pPr>
      <w:bookmarkStart w:id="32" w:name="_Toc346891255"/>
      <w:r w:rsidRPr="00993D07">
        <w:rPr>
          <w:rFonts w:cs="Arial"/>
          <w:color w:val="00B0F0"/>
        </w:rPr>
        <w:t>P</w:t>
      </w:r>
      <w:r w:rsidR="000312B4">
        <w:rPr>
          <w:rFonts w:cs="Arial"/>
          <w:color w:val="00B0F0"/>
        </w:rPr>
        <w:t xml:space="preserve">re-employment </w:t>
      </w:r>
      <w:r w:rsidRPr="00993D07">
        <w:rPr>
          <w:rFonts w:cs="Arial"/>
          <w:color w:val="00B0F0"/>
        </w:rPr>
        <w:t>S</w:t>
      </w:r>
      <w:r w:rsidR="000312B4">
        <w:rPr>
          <w:rFonts w:cs="Arial"/>
          <w:color w:val="00B0F0"/>
        </w:rPr>
        <w:t xml:space="preserve">tructured </w:t>
      </w:r>
      <w:r w:rsidRPr="00993D07">
        <w:rPr>
          <w:rFonts w:cs="Arial"/>
          <w:color w:val="00B0F0"/>
        </w:rPr>
        <w:t>C</w:t>
      </w:r>
      <w:r w:rsidR="000312B4">
        <w:rPr>
          <w:rFonts w:cs="Arial"/>
          <w:color w:val="00B0F0"/>
        </w:rPr>
        <w:t xml:space="preserve">linical </w:t>
      </w:r>
      <w:r w:rsidRPr="00993D07">
        <w:rPr>
          <w:rFonts w:cs="Arial"/>
          <w:color w:val="00B0F0"/>
        </w:rPr>
        <w:t>I</w:t>
      </w:r>
      <w:r w:rsidR="000312B4">
        <w:rPr>
          <w:rFonts w:cs="Arial"/>
          <w:color w:val="00B0F0"/>
        </w:rPr>
        <w:t>nterview (PESCI)</w:t>
      </w:r>
      <w:r w:rsidRPr="00993D07">
        <w:rPr>
          <w:rFonts w:cs="Arial"/>
          <w:color w:val="00B0F0"/>
        </w:rPr>
        <w:t xml:space="preserve"> Fees</w:t>
      </w:r>
      <w:bookmarkEnd w:id="32"/>
      <w:r w:rsidRPr="00993D07">
        <w:rPr>
          <w:rFonts w:cs="Arial"/>
          <w:color w:val="00B0F0"/>
        </w:rPr>
        <w:t xml:space="preserve"> </w:t>
      </w:r>
    </w:p>
    <w:p w:rsidR="0031693E" w:rsidRPr="00993D07" w:rsidRDefault="0031693E" w:rsidP="0031693E">
      <w:pPr>
        <w:pStyle w:val="Table-body"/>
        <w:spacing w:before="0" w:after="0" w:line="260" w:lineRule="atLeast"/>
        <w:jc w:val="both"/>
        <w:rPr>
          <w:rFonts w:ascii="Arial" w:hAnsi="Arial" w:cs="Arial"/>
        </w:rPr>
      </w:pPr>
      <w:r w:rsidRPr="00993D07">
        <w:rPr>
          <w:rFonts w:ascii="Arial" w:hAnsi="Arial" w:cs="Arial"/>
        </w:rPr>
        <w:t xml:space="preserve">The effort required by AHPRA staff to manage PESCI is </w:t>
      </w:r>
      <w:r w:rsidR="00617E56" w:rsidRPr="00993D07">
        <w:rPr>
          <w:rFonts w:ascii="Arial" w:hAnsi="Arial" w:cs="Arial"/>
        </w:rPr>
        <w:t>not</w:t>
      </w:r>
      <w:r w:rsidR="009F0296" w:rsidRPr="00993D07">
        <w:rPr>
          <w:rFonts w:ascii="Arial" w:hAnsi="Arial" w:cs="Arial"/>
        </w:rPr>
        <w:t xml:space="preserve"> a</w:t>
      </w:r>
      <w:r w:rsidR="00617E56" w:rsidRPr="00993D07">
        <w:rPr>
          <w:rFonts w:ascii="Arial" w:hAnsi="Arial" w:cs="Arial"/>
        </w:rPr>
        <w:t xml:space="preserve"> significant contributor to costs (approx 0.5% of total costs)</w:t>
      </w:r>
      <w:r w:rsidRPr="00993D07">
        <w:rPr>
          <w:rFonts w:ascii="Arial" w:hAnsi="Arial" w:cs="Arial"/>
        </w:rPr>
        <w:t xml:space="preserve"> throughout the year.  There is no evidence to suggest that the survey period included a particularly high or particularly low effort relating to PESCI effort. </w:t>
      </w:r>
    </w:p>
    <w:p w:rsidR="0031693E" w:rsidRPr="00993D07" w:rsidRDefault="0031693E" w:rsidP="0031693E">
      <w:pPr>
        <w:pStyle w:val="Table-body"/>
        <w:spacing w:before="0" w:after="0" w:line="260" w:lineRule="atLeast"/>
        <w:jc w:val="both"/>
        <w:rPr>
          <w:rFonts w:ascii="Arial" w:hAnsi="Arial" w:cs="Arial"/>
          <w:szCs w:val="22"/>
        </w:rPr>
      </w:pPr>
    </w:p>
    <w:p w:rsidR="0031693E" w:rsidRPr="00993D07" w:rsidRDefault="0031693E" w:rsidP="0031693E">
      <w:pPr>
        <w:pStyle w:val="Table-body"/>
        <w:spacing w:before="0" w:after="0" w:line="260" w:lineRule="atLeast"/>
        <w:jc w:val="both"/>
        <w:rPr>
          <w:rFonts w:ascii="Arial" w:hAnsi="Arial" w:cs="Arial"/>
        </w:rPr>
      </w:pPr>
      <w:r w:rsidRPr="00993D07">
        <w:rPr>
          <w:rFonts w:ascii="Arial" w:hAnsi="Arial" w:cs="Arial"/>
        </w:rPr>
        <w:t xml:space="preserve">Therefore it is recommended the data collected from the study period </w:t>
      </w:r>
      <w:r w:rsidR="00AE0E20">
        <w:rPr>
          <w:rFonts w:ascii="Arial" w:hAnsi="Arial" w:cs="Arial"/>
        </w:rPr>
        <w:t>are</w:t>
      </w:r>
      <w:r w:rsidR="00AE0E20" w:rsidRPr="00993D07">
        <w:rPr>
          <w:rFonts w:ascii="Arial" w:hAnsi="Arial" w:cs="Arial"/>
        </w:rPr>
        <w:t xml:space="preserve"> </w:t>
      </w:r>
      <w:r w:rsidRPr="00993D07">
        <w:rPr>
          <w:rFonts w:ascii="Arial" w:hAnsi="Arial" w:cs="Arial"/>
          <w:b/>
        </w:rPr>
        <w:t>not adjusted</w:t>
      </w:r>
      <w:r w:rsidRPr="00993D07">
        <w:rPr>
          <w:rFonts w:ascii="Arial" w:hAnsi="Arial" w:cs="Arial"/>
        </w:rPr>
        <w:t xml:space="preserve"> for any </w:t>
      </w:r>
      <w:r w:rsidR="0016582D" w:rsidRPr="00993D07">
        <w:rPr>
          <w:rFonts w:ascii="Arial" w:hAnsi="Arial" w:cs="Arial"/>
        </w:rPr>
        <w:t>seasonality</w:t>
      </w:r>
      <w:r w:rsidRPr="00993D07">
        <w:rPr>
          <w:rFonts w:ascii="Arial" w:hAnsi="Arial" w:cs="Arial"/>
        </w:rPr>
        <w:t xml:space="preserve"> of PESCI effort.</w:t>
      </w:r>
    </w:p>
    <w:p w:rsidR="0031693E" w:rsidRPr="00993D07" w:rsidRDefault="0031693E" w:rsidP="0016582D">
      <w:pPr>
        <w:pStyle w:val="Heading3"/>
        <w:rPr>
          <w:rFonts w:cs="Arial"/>
          <w:color w:val="00B0F0"/>
        </w:rPr>
      </w:pPr>
      <w:bookmarkStart w:id="33" w:name="_Toc346891256"/>
      <w:r w:rsidRPr="00993D07">
        <w:rPr>
          <w:rFonts w:cs="Arial"/>
          <w:color w:val="00B0F0"/>
        </w:rPr>
        <w:t>New activities for 2013</w:t>
      </w:r>
      <w:r w:rsidR="0016582D" w:rsidRPr="00993D07">
        <w:rPr>
          <w:rFonts w:cs="Arial"/>
          <w:color w:val="00B0F0"/>
        </w:rPr>
        <w:t>/</w:t>
      </w:r>
      <w:r w:rsidRPr="00993D07">
        <w:rPr>
          <w:rFonts w:cs="Arial"/>
          <w:color w:val="00B0F0"/>
        </w:rPr>
        <w:t>14</w:t>
      </w:r>
      <w:bookmarkEnd w:id="33"/>
      <w:r w:rsidRPr="00993D07">
        <w:rPr>
          <w:rFonts w:cs="Arial"/>
          <w:color w:val="00B0F0"/>
        </w:rPr>
        <w:t xml:space="preserve"> </w:t>
      </w:r>
    </w:p>
    <w:p w:rsidR="0016582D" w:rsidRPr="00993D07" w:rsidRDefault="0031693E" w:rsidP="0031693E">
      <w:pPr>
        <w:pStyle w:val="Table-body"/>
        <w:spacing w:before="0" w:after="0" w:line="260" w:lineRule="atLeast"/>
        <w:jc w:val="both"/>
        <w:rPr>
          <w:rFonts w:ascii="Arial" w:hAnsi="Arial" w:cs="Arial"/>
        </w:rPr>
      </w:pPr>
      <w:r w:rsidRPr="00993D07">
        <w:rPr>
          <w:rFonts w:ascii="Arial" w:hAnsi="Arial" w:cs="Arial"/>
        </w:rPr>
        <w:t xml:space="preserve">The survey period collected data from current activities.  Any new activity for 2013-14 which would form part of the pool of costs to be allocated would need to be assessed for its impact. </w:t>
      </w:r>
    </w:p>
    <w:p w:rsidR="0016582D" w:rsidRPr="00993D07" w:rsidRDefault="0016582D" w:rsidP="0031693E">
      <w:pPr>
        <w:pStyle w:val="Table-body"/>
        <w:spacing w:before="0" w:after="0" w:line="260" w:lineRule="atLeast"/>
        <w:jc w:val="both"/>
        <w:rPr>
          <w:rFonts w:ascii="Arial" w:hAnsi="Arial" w:cs="Arial"/>
        </w:rPr>
      </w:pPr>
    </w:p>
    <w:p w:rsidR="003017E5" w:rsidRPr="00993D07" w:rsidRDefault="003017E5" w:rsidP="0031693E">
      <w:pPr>
        <w:pStyle w:val="Table-body"/>
        <w:spacing w:before="0" w:after="0" w:line="260" w:lineRule="atLeast"/>
        <w:jc w:val="both"/>
        <w:rPr>
          <w:rFonts w:ascii="Arial" w:hAnsi="Arial" w:cs="Arial"/>
        </w:rPr>
      </w:pPr>
      <w:r w:rsidRPr="00993D07">
        <w:rPr>
          <w:rFonts w:ascii="Arial" w:hAnsi="Arial" w:cs="Arial"/>
        </w:rPr>
        <w:t xml:space="preserve">However, we have identified a number of projects/activities that may have an impact on future costing outcomes </w:t>
      </w:r>
      <w:r w:rsidR="00983E83" w:rsidRPr="00993D07">
        <w:rPr>
          <w:rFonts w:ascii="Arial" w:hAnsi="Arial" w:cs="Arial"/>
        </w:rPr>
        <w:t>post</w:t>
      </w:r>
      <w:r w:rsidRPr="00993D07">
        <w:rPr>
          <w:rFonts w:ascii="Arial" w:hAnsi="Arial" w:cs="Arial"/>
        </w:rPr>
        <w:t xml:space="preserve"> 1 July 2013.  These include;</w:t>
      </w:r>
    </w:p>
    <w:p w:rsidR="003017E5" w:rsidRPr="00993D07" w:rsidRDefault="003017E5" w:rsidP="0031693E">
      <w:pPr>
        <w:pStyle w:val="Table-body"/>
        <w:spacing w:before="0" w:after="0" w:line="260" w:lineRule="atLeast"/>
        <w:jc w:val="both"/>
        <w:rPr>
          <w:rFonts w:ascii="Arial" w:hAnsi="Arial" w:cs="Arial"/>
        </w:rPr>
      </w:pPr>
    </w:p>
    <w:p w:rsidR="003C6916" w:rsidRPr="008A7036" w:rsidRDefault="003C6916" w:rsidP="003C6916">
      <w:pPr>
        <w:pStyle w:val="Table-body"/>
        <w:numPr>
          <w:ilvl w:val="0"/>
          <w:numId w:val="34"/>
        </w:numPr>
        <w:spacing w:before="0" w:after="0" w:line="260" w:lineRule="atLeast"/>
        <w:jc w:val="both"/>
        <w:rPr>
          <w:rFonts w:ascii="Arial" w:hAnsi="Arial" w:cs="Arial"/>
        </w:rPr>
      </w:pPr>
      <w:r w:rsidRPr="008A7036">
        <w:rPr>
          <w:rFonts w:ascii="Arial" w:hAnsi="Arial" w:cs="Arial"/>
          <w:i/>
        </w:rPr>
        <w:t>Psychology exams</w:t>
      </w:r>
      <w:r w:rsidRPr="008A7036">
        <w:rPr>
          <w:rFonts w:ascii="Arial" w:hAnsi="Arial" w:cs="Arial"/>
        </w:rPr>
        <w:t xml:space="preserve"> </w:t>
      </w:r>
    </w:p>
    <w:p w:rsidR="003017E5" w:rsidRPr="00993D07" w:rsidRDefault="003017E5" w:rsidP="00947E83">
      <w:pPr>
        <w:rPr>
          <w:rFonts w:cs="Arial"/>
        </w:rPr>
      </w:pPr>
    </w:p>
    <w:p w:rsidR="003017E5" w:rsidRPr="003C6916" w:rsidRDefault="00132D34" w:rsidP="003017E5">
      <w:pPr>
        <w:pStyle w:val="Table-body"/>
        <w:numPr>
          <w:ilvl w:val="0"/>
          <w:numId w:val="34"/>
        </w:numPr>
        <w:spacing w:before="0" w:after="0" w:line="260" w:lineRule="atLeast"/>
        <w:jc w:val="both"/>
        <w:rPr>
          <w:rFonts w:cs="Arial"/>
        </w:rPr>
      </w:pPr>
      <w:r>
        <w:rPr>
          <w:rFonts w:ascii="Arial" w:hAnsi="Arial" w:cs="Arial"/>
          <w:i/>
        </w:rPr>
        <w:t>P</w:t>
      </w:r>
      <w:r w:rsidR="003017E5" w:rsidRPr="003C6916">
        <w:rPr>
          <w:rFonts w:ascii="Arial" w:hAnsi="Arial" w:cs="Arial"/>
          <w:i/>
        </w:rPr>
        <w:t xml:space="preserve">erformance </w:t>
      </w:r>
      <w:r w:rsidR="007D3531" w:rsidRPr="003C6916">
        <w:rPr>
          <w:rFonts w:ascii="Arial" w:hAnsi="Arial" w:cs="Arial"/>
          <w:i/>
        </w:rPr>
        <w:t>a</w:t>
      </w:r>
      <w:r w:rsidR="003017E5" w:rsidRPr="003C6916">
        <w:rPr>
          <w:rFonts w:ascii="Arial" w:hAnsi="Arial" w:cs="Arial"/>
          <w:i/>
        </w:rPr>
        <w:t>ssessments</w:t>
      </w:r>
      <w:r w:rsidR="003017E5" w:rsidRPr="003C6916">
        <w:rPr>
          <w:rFonts w:ascii="Arial" w:hAnsi="Arial" w:cs="Arial"/>
        </w:rPr>
        <w:t xml:space="preserve"> </w:t>
      </w:r>
    </w:p>
    <w:p w:rsidR="003C6916" w:rsidRPr="003C6916" w:rsidRDefault="003C6916" w:rsidP="003C6916">
      <w:pPr>
        <w:pStyle w:val="Table-body"/>
        <w:spacing w:before="0" w:after="0" w:line="260" w:lineRule="atLeast"/>
        <w:jc w:val="both"/>
        <w:rPr>
          <w:rFonts w:cs="Arial"/>
        </w:rPr>
      </w:pPr>
    </w:p>
    <w:p w:rsidR="003017E5" w:rsidRPr="00993D07" w:rsidRDefault="003017E5" w:rsidP="003017E5">
      <w:pPr>
        <w:pStyle w:val="Table-body"/>
        <w:numPr>
          <w:ilvl w:val="0"/>
          <w:numId w:val="34"/>
        </w:numPr>
        <w:spacing w:before="0" w:after="0" w:line="260" w:lineRule="atLeast"/>
        <w:jc w:val="both"/>
        <w:rPr>
          <w:rFonts w:ascii="Arial" w:hAnsi="Arial" w:cs="Arial"/>
        </w:rPr>
      </w:pPr>
      <w:r w:rsidRPr="003C6916">
        <w:rPr>
          <w:rFonts w:ascii="Arial" w:hAnsi="Arial" w:cs="Arial"/>
          <w:i/>
        </w:rPr>
        <w:t xml:space="preserve">Queensland </w:t>
      </w:r>
      <w:r w:rsidR="007D3531" w:rsidRPr="003C6916">
        <w:rPr>
          <w:rFonts w:ascii="Arial" w:hAnsi="Arial" w:cs="Arial"/>
          <w:i/>
        </w:rPr>
        <w:t>n</w:t>
      </w:r>
      <w:r w:rsidRPr="003C6916">
        <w:rPr>
          <w:rFonts w:ascii="Arial" w:hAnsi="Arial" w:cs="Arial"/>
          <w:i/>
        </w:rPr>
        <w:t>otifications</w:t>
      </w:r>
      <w:r w:rsidRPr="003C6916">
        <w:rPr>
          <w:rFonts w:ascii="Arial" w:hAnsi="Arial" w:cs="Arial"/>
        </w:rPr>
        <w:t xml:space="preserve"> </w:t>
      </w:r>
    </w:p>
    <w:p w:rsidR="003017E5" w:rsidRPr="00993D07" w:rsidRDefault="003017E5" w:rsidP="003017E5">
      <w:pPr>
        <w:pStyle w:val="ListParagraph"/>
        <w:rPr>
          <w:rFonts w:cs="Arial"/>
        </w:rPr>
      </w:pPr>
    </w:p>
    <w:p w:rsidR="003017E5" w:rsidRPr="00993D07" w:rsidRDefault="003017E5" w:rsidP="003017E5">
      <w:pPr>
        <w:pStyle w:val="Table-body"/>
        <w:numPr>
          <w:ilvl w:val="0"/>
          <w:numId w:val="34"/>
        </w:numPr>
        <w:spacing w:before="0" w:after="0" w:line="260" w:lineRule="atLeast"/>
        <w:jc w:val="both"/>
        <w:rPr>
          <w:rFonts w:ascii="Arial" w:hAnsi="Arial" w:cs="Arial"/>
        </w:rPr>
      </w:pPr>
      <w:r w:rsidRPr="00993D07">
        <w:rPr>
          <w:rFonts w:ascii="Arial" w:hAnsi="Arial" w:cs="Arial"/>
          <w:i/>
        </w:rPr>
        <w:t xml:space="preserve">Increase in </w:t>
      </w:r>
      <w:r w:rsidR="007D3531" w:rsidRPr="00993D07">
        <w:rPr>
          <w:rFonts w:ascii="Arial" w:hAnsi="Arial" w:cs="Arial"/>
          <w:i/>
        </w:rPr>
        <w:t>p</w:t>
      </w:r>
      <w:r w:rsidRPr="00993D07">
        <w:rPr>
          <w:rFonts w:ascii="Arial" w:hAnsi="Arial" w:cs="Arial"/>
          <w:i/>
        </w:rPr>
        <w:t xml:space="preserve">ractitioner </w:t>
      </w:r>
      <w:r w:rsidR="007D3531" w:rsidRPr="00993D07">
        <w:rPr>
          <w:rFonts w:ascii="Arial" w:hAnsi="Arial" w:cs="Arial"/>
          <w:i/>
        </w:rPr>
        <w:t>a</w:t>
      </w:r>
      <w:r w:rsidRPr="00993D07">
        <w:rPr>
          <w:rFonts w:ascii="Arial" w:hAnsi="Arial" w:cs="Arial"/>
          <w:i/>
        </w:rPr>
        <w:t>udits</w:t>
      </w:r>
      <w:r w:rsidRPr="00993D07">
        <w:rPr>
          <w:rFonts w:ascii="Arial" w:hAnsi="Arial" w:cs="Arial"/>
        </w:rPr>
        <w:t xml:space="preserve"> </w:t>
      </w:r>
    </w:p>
    <w:p w:rsidR="0016582D" w:rsidRPr="00993D07" w:rsidRDefault="0016582D" w:rsidP="0031693E">
      <w:pPr>
        <w:pStyle w:val="Table-body"/>
        <w:spacing w:before="0" w:after="0" w:line="260" w:lineRule="atLeast"/>
        <w:jc w:val="both"/>
        <w:rPr>
          <w:rFonts w:ascii="Arial" w:hAnsi="Arial" w:cs="Arial"/>
        </w:rPr>
      </w:pPr>
    </w:p>
    <w:p w:rsidR="003C03BD" w:rsidRPr="00993D07" w:rsidRDefault="003017E5" w:rsidP="00CF1FA5">
      <w:pPr>
        <w:pStyle w:val="Table-body"/>
        <w:spacing w:before="0" w:after="0" w:line="260" w:lineRule="atLeast"/>
        <w:jc w:val="both"/>
        <w:rPr>
          <w:rFonts w:ascii="Arial" w:hAnsi="Arial" w:cs="Arial"/>
        </w:rPr>
      </w:pPr>
      <w:r w:rsidRPr="00993D07">
        <w:rPr>
          <w:rFonts w:ascii="Arial" w:hAnsi="Arial" w:cs="Arial"/>
        </w:rPr>
        <w:t>For all of the above activities, we are yet to determine the level of activity/time.</w:t>
      </w:r>
      <w:r w:rsidR="00CF1FA5">
        <w:rPr>
          <w:rFonts w:ascii="Arial" w:hAnsi="Arial" w:cs="Arial"/>
        </w:rPr>
        <w:t xml:space="preserve">  </w:t>
      </w:r>
      <w:r w:rsidRPr="00993D07">
        <w:rPr>
          <w:rFonts w:ascii="Arial" w:hAnsi="Arial" w:cs="Arial"/>
        </w:rPr>
        <w:t>We would anticipate that such projects/activities are costed directly to the applicable Boa</w:t>
      </w:r>
      <w:r w:rsidR="00CF1FA5">
        <w:rPr>
          <w:rFonts w:ascii="Arial" w:hAnsi="Arial" w:cs="Arial"/>
        </w:rPr>
        <w:t>r</w:t>
      </w:r>
      <w:r w:rsidRPr="00993D07">
        <w:rPr>
          <w:rFonts w:ascii="Arial" w:hAnsi="Arial" w:cs="Arial"/>
        </w:rPr>
        <w:t>d</w:t>
      </w:r>
      <w:r w:rsidR="007D3531" w:rsidRPr="00993D07">
        <w:rPr>
          <w:rFonts w:ascii="Arial" w:hAnsi="Arial" w:cs="Arial"/>
        </w:rPr>
        <w:t>s</w:t>
      </w:r>
      <w:r w:rsidRPr="00993D07">
        <w:rPr>
          <w:rFonts w:ascii="Arial" w:hAnsi="Arial" w:cs="Arial"/>
        </w:rPr>
        <w:t xml:space="preserve"> when information </w:t>
      </w:r>
      <w:r w:rsidR="007D3531" w:rsidRPr="00993D07">
        <w:rPr>
          <w:rFonts w:ascii="Arial" w:hAnsi="Arial" w:cs="Arial"/>
        </w:rPr>
        <w:t xml:space="preserve">is </w:t>
      </w:r>
      <w:r w:rsidRPr="00993D07">
        <w:rPr>
          <w:rFonts w:ascii="Arial" w:hAnsi="Arial" w:cs="Arial"/>
        </w:rPr>
        <w:t>available.</w:t>
      </w:r>
      <w:r w:rsidR="00CF1FA5">
        <w:rPr>
          <w:rFonts w:ascii="Arial" w:hAnsi="Arial" w:cs="Arial"/>
        </w:rPr>
        <w:t xml:space="preserve">  </w:t>
      </w:r>
      <w:r w:rsidR="0031693E" w:rsidRPr="00993D07">
        <w:rPr>
          <w:rFonts w:ascii="Arial" w:hAnsi="Arial" w:cs="Arial"/>
        </w:rPr>
        <w:t xml:space="preserve">Therefore it is recommended the data collected from the study period is </w:t>
      </w:r>
      <w:r w:rsidR="0031693E" w:rsidRPr="00993D07">
        <w:rPr>
          <w:rFonts w:ascii="Arial" w:hAnsi="Arial" w:cs="Arial"/>
          <w:b/>
        </w:rPr>
        <w:t>not adjusted</w:t>
      </w:r>
      <w:r w:rsidR="0031693E" w:rsidRPr="00993D07">
        <w:rPr>
          <w:rFonts w:ascii="Arial" w:hAnsi="Arial" w:cs="Arial"/>
        </w:rPr>
        <w:t xml:space="preserve"> as there is insufficient data </w:t>
      </w:r>
      <w:r w:rsidR="00983E83" w:rsidRPr="00993D07">
        <w:rPr>
          <w:rFonts w:ascii="Arial" w:hAnsi="Arial" w:cs="Arial"/>
        </w:rPr>
        <w:t xml:space="preserve">or information </w:t>
      </w:r>
      <w:r w:rsidR="0031693E" w:rsidRPr="00993D07">
        <w:rPr>
          <w:rFonts w:ascii="Arial" w:hAnsi="Arial" w:cs="Arial"/>
        </w:rPr>
        <w:t xml:space="preserve">to assess </w:t>
      </w:r>
      <w:r w:rsidR="00983E83" w:rsidRPr="00993D07">
        <w:rPr>
          <w:rFonts w:ascii="Arial" w:hAnsi="Arial" w:cs="Arial"/>
        </w:rPr>
        <w:t>any potential cost</w:t>
      </w:r>
      <w:r w:rsidR="00AF2122" w:rsidRPr="00993D07">
        <w:rPr>
          <w:rFonts w:ascii="Arial" w:hAnsi="Arial" w:cs="Arial"/>
        </w:rPr>
        <w:t xml:space="preserve"> impact on the above activities.</w:t>
      </w:r>
    </w:p>
    <w:p w:rsidR="00AA6420" w:rsidRPr="00993D07" w:rsidRDefault="00AA6420" w:rsidP="00CC5F54">
      <w:pPr>
        <w:pStyle w:val="Heading1"/>
      </w:pPr>
      <w:bookmarkStart w:id="34" w:name="_Toc346891257"/>
      <w:r w:rsidRPr="00993D07">
        <w:t>Appendix 2 – Timesheet Data Build-up</w:t>
      </w:r>
      <w:bookmarkEnd w:id="34"/>
      <w:r w:rsidRPr="00993D07">
        <w:t xml:space="preserve"> </w:t>
      </w:r>
    </w:p>
    <w:p w:rsidR="00AA6420" w:rsidRPr="00993D07" w:rsidRDefault="00AA6420" w:rsidP="00AA6420">
      <w:pPr>
        <w:pStyle w:val="DefaultText"/>
        <w:spacing w:line="260" w:lineRule="atLeast"/>
        <w:rPr>
          <w:rFonts w:cs="Arial"/>
          <w:sz w:val="20"/>
        </w:rPr>
      </w:pPr>
      <w:r w:rsidRPr="00993D07">
        <w:rPr>
          <w:rFonts w:cs="Arial"/>
          <w:sz w:val="20"/>
        </w:rPr>
        <w:t xml:space="preserve">Based on the methodology identified above, and considering the adjustments made, the following table illustrates the </w:t>
      </w:r>
      <w:r w:rsidR="004F0239" w:rsidRPr="00993D07">
        <w:rPr>
          <w:rFonts w:cs="Arial"/>
          <w:sz w:val="20"/>
        </w:rPr>
        <w:t>cumulative</w:t>
      </w:r>
      <w:r w:rsidRPr="00993D07">
        <w:rPr>
          <w:rFonts w:cs="Arial"/>
          <w:sz w:val="20"/>
        </w:rPr>
        <w:t xml:space="preserve"> </w:t>
      </w:r>
      <w:r w:rsidR="003B55DC" w:rsidRPr="00993D07">
        <w:rPr>
          <w:rFonts w:cs="Arial"/>
          <w:sz w:val="20"/>
        </w:rPr>
        <w:t>impact</w:t>
      </w:r>
      <w:r w:rsidRPr="00993D07">
        <w:rPr>
          <w:rFonts w:cs="Arial"/>
          <w:sz w:val="20"/>
        </w:rPr>
        <w:t xml:space="preserve"> on the final cost allocation percentage </w:t>
      </w:r>
      <w:r w:rsidR="004F0239" w:rsidRPr="00993D07">
        <w:rPr>
          <w:rFonts w:cs="Arial"/>
          <w:sz w:val="20"/>
        </w:rPr>
        <w:t>(</w:t>
      </w:r>
      <w:r w:rsidRPr="00993D07">
        <w:rPr>
          <w:rFonts w:cs="Arial"/>
          <w:sz w:val="20"/>
        </w:rPr>
        <w:t xml:space="preserve">identified in </w:t>
      </w:r>
      <w:r w:rsidR="004F0239" w:rsidRPr="00993D07">
        <w:rPr>
          <w:rFonts w:cs="Arial"/>
          <w:sz w:val="20"/>
        </w:rPr>
        <w:t>the Executive Summary)</w:t>
      </w:r>
      <w:r w:rsidRPr="00993D07">
        <w:rPr>
          <w:rFonts w:cs="Arial"/>
          <w:sz w:val="20"/>
        </w:rPr>
        <w:t xml:space="preserve"> for eac</w:t>
      </w:r>
      <w:r w:rsidR="004F0239" w:rsidRPr="00993D07">
        <w:rPr>
          <w:rFonts w:cs="Arial"/>
          <w:sz w:val="20"/>
        </w:rPr>
        <w:t>h adjustment made.</w:t>
      </w:r>
    </w:p>
    <w:p w:rsidR="00AA6420" w:rsidRPr="00993D07" w:rsidRDefault="00AA6420" w:rsidP="00AA6420">
      <w:pPr>
        <w:pStyle w:val="DefaultText"/>
        <w:spacing w:line="260" w:lineRule="atLeast"/>
        <w:rPr>
          <w:rFonts w:cs="Arial"/>
          <w:sz w:val="22"/>
        </w:rPr>
      </w:pPr>
    </w:p>
    <w:tbl>
      <w:tblPr>
        <w:tblW w:w="9360" w:type="dxa"/>
        <w:tblInd w:w="93" w:type="dxa"/>
        <w:tblLook w:val="04A0"/>
      </w:tblPr>
      <w:tblGrid>
        <w:gridCol w:w="2670"/>
        <w:gridCol w:w="1239"/>
        <w:gridCol w:w="1358"/>
        <w:gridCol w:w="1577"/>
        <w:gridCol w:w="1217"/>
        <w:gridCol w:w="1299"/>
      </w:tblGrid>
      <w:tr w:rsidR="00416505" w:rsidRPr="00993D07" w:rsidTr="00AF2122">
        <w:trPr>
          <w:trHeight w:val="315"/>
        </w:trPr>
        <w:tc>
          <w:tcPr>
            <w:tcW w:w="2670" w:type="dxa"/>
            <w:tcBorders>
              <w:top w:val="nil"/>
              <w:left w:val="single" w:sz="8" w:space="0" w:color="00B0F0"/>
              <w:bottom w:val="single" w:sz="8" w:space="0" w:color="009ADF"/>
              <w:right w:val="single" w:sz="8" w:space="0" w:color="FFFFFF"/>
            </w:tcBorders>
            <w:shd w:val="clear" w:color="000000" w:fill="00B0F0"/>
            <w:vAlign w:val="bottom"/>
            <w:hideMark/>
          </w:tcPr>
          <w:p w:rsidR="00AF2122" w:rsidRPr="00993D07" w:rsidRDefault="00AF2122" w:rsidP="00FE5884">
            <w:pPr>
              <w:spacing w:line="240" w:lineRule="auto"/>
              <w:rPr>
                <w:rFonts w:cs="Arial"/>
                <w:b/>
                <w:bCs/>
                <w:iCs/>
                <w:color w:val="FFFFFF"/>
                <w:sz w:val="16"/>
                <w:szCs w:val="16"/>
                <w:lang w:eastAsia="en-AU"/>
              </w:rPr>
            </w:pPr>
            <w:r w:rsidRPr="00993D07">
              <w:rPr>
                <w:rFonts w:cs="Arial"/>
                <w:b/>
                <w:bCs/>
                <w:iCs/>
                <w:color w:val="FFFFFF"/>
                <w:sz w:val="16"/>
                <w:szCs w:val="16"/>
                <w:lang w:eastAsia="en-AU"/>
              </w:rPr>
              <w:t>National Board</w:t>
            </w:r>
          </w:p>
        </w:tc>
        <w:tc>
          <w:tcPr>
            <w:tcW w:w="1239" w:type="dxa"/>
            <w:tcBorders>
              <w:top w:val="nil"/>
              <w:left w:val="nil"/>
              <w:bottom w:val="single" w:sz="8" w:space="0" w:color="009ADF"/>
              <w:right w:val="single" w:sz="8" w:space="0" w:color="FFFFFF"/>
            </w:tcBorders>
            <w:shd w:val="clear" w:color="000000" w:fill="00B0F0"/>
            <w:vAlign w:val="bottom"/>
            <w:hideMark/>
          </w:tcPr>
          <w:p w:rsidR="00AF2122" w:rsidRPr="00993D07" w:rsidRDefault="00AF2122" w:rsidP="00FE5884">
            <w:pPr>
              <w:spacing w:line="240" w:lineRule="auto"/>
              <w:jc w:val="center"/>
              <w:rPr>
                <w:rFonts w:cs="Arial"/>
                <w:b/>
                <w:bCs/>
                <w:iCs/>
                <w:color w:val="FFFFFF"/>
                <w:sz w:val="16"/>
                <w:szCs w:val="16"/>
                <w:lang w:eastAsia="en-AU"/>
              </w:rPr>
            </w:pPr>
            <w:r w:rsidRPr="00993D07">
              <w:rPr>
                <w:rFonts w:cs="Arial"/>
                <w:b/>
                <w:bCs/>
                <w:iCs/>
                <w:color w:val="FFFFFF"/>
                <w:sz w:val="16"/>
                <w:szCs w:val="16"/>
                <w:lang w:eastAsia="en-AU"/>
              </w:rPr>
              <w:t>Base Timesheet Data</w:t>
            </w:r>
          </w:p>
          <w:p w:rsidR="00AF2122" w:rsidRPr="00993D07" w:rsidRDefault="00AF2122" w:rsidP="00AF2122">
            <w:pPr>
              <w:spacing w:line="240" w:lineRule="auto"/>
              <w:jc w:val="center"/>
              <w:rPr>
                <w:rFonts w:cs="Arial"/>
                <w:b/>
                <w:bCs/>
                <w:iCs/>
                <w:color w:val="FFFFFF"/>
                <w:sz w:val="16"/>
                <w:szCs w:val="16"/>
                <w:lang w:eastAsia="en-AU"/>
              </w:rPr>
            </w:pPr>
            <w:r w:rsidRPr="00993D07">
              <w:rPr>
                <w:rFonts w:cs="Arial"/>
                <w:b/>
                <w:bCs/>
                <w:iCs/>
                <w:color w:val="FFFFFF"/>
                <w:sz w:val="16"/>
                <w:szCs w:val="16"/>
                <w:lang w:eastAsia="en-AU"/>
              </w:rPr>
              <w:t>(1)</w:t>
            </w:r>
          </w:p>
        </w:tc>
        <w:tc>
          <w:tcPr>
            <w:tcW w:w="1358" w:type="dxa"/>
            <w:tcBorders>
              <w:top w:val="nil"/>
              <w:left w:val="nil"/>
              <w:bottom w:val="single" w:sz="8" w:space="0" w:color="009ADF"/>
              <w:right w:val="single" w:sz="8" w:space="0" w:color="FFFFFF"/>
            </w:tcBorders>
            <w:shd w:val="clear" w:color="000000" w:fill="00B0F0"/>
            <w:vAlign w:val="bottom"/>
            <w:hideMark/>
          </w:tcPr>
          <w:p w:rsidR="00AF2122" w:rsidRPr="00993D07" w:rsidRDefault="00AF2122" w:rsidP="00FE5884">
            <w:pPr>
              <w:spacing w:line="240" w:lineRule="auto"/>
              <w:jc w:val="center"/>
              <w:rPr>
                <w:rFonts w:cs="Arial"/>
                <w:b/>
                <w:bCs/>
                <w:iCs/>
                <w:color w:val="FFFFFF"/>
                <w:sz w:val="16"/>
                <w:szCs w:val="16"/>
                <w:lang w:eastAsia="en-AU"/>
              </w:rPr>
            </w:pPr>
            <w:r w:rsidRPr="00993D07">
              <w:rPr>
                <w:rFonts w:cs="Arial"/>
                <w:b/>
                <w:bCs/>
                <w:iCs/>
                <w:color w:val="FFFFFF"/>
                <w:sz w:val="16"/>
                <w:szCs w:val="16"/>
                <w:lang w:eastAsia="en-AU"/>
              </w:rPr>
              <w:t>NMBA Adjustment</w:t>
            </w:r>
          </w:p>
          <w:p w:rsidR="00AF2122" w:rsidRPr="00993D07" w:rsidRDefault="00AF2122" w:rsidP="00FE5884">
            <w:pPr>
              <w:spacing w:line="240" w:lineRule="auto"/>
              <w:jc w:val="center"/>
              <w:rPr>
                <w:rFonts w:cs="Arial"/>
                <w:b/>
                <w:bCs/>
                <w:iCs/>
                <w:color w:val="FFFFFF"/>
                <w:sz w:val="16"/>
                <w:szCs w:val="16"/>
                <w:lang w:eastAsia="en-AU"/>
              </w:rPr>
            </w:pPr>
            <w:r w:rsidRPr="00993D07">
              <w:rPr>
                <w:rFonts w:cs="Arial"/>
                <w:b/>
                <w:bCs/>
                <w:iCs/>
                <w:color w:val="FFFFFF"/>
                <w:sz w:val="16"/>
                <w:szCs w:val="16"/>
                <w:lang w:eastAsia="en-AU"/>
              </w:rPr>
              <w:t>(2)</w:t>
            </w:r>
          </w:p>
        </w:tc>
        <w:tc>
          <w:tcPr>
            <w:tcW w:w="1577" w:type="dxa"/>
            <w:tcBorders>
              <w:top w:val="nil"/>
              <w:left w:val="nil"/>
              <w:bottom w:val="single" w:sz="8" w:space="0" w:color="009ADF"/>
              <w:right w:val="single" w:sz="8" w:space="0" w:color="FFFFFF"/>
            </w:tcBorders>
            <w:shd w:val="clear" w:color="000000" w:fill="00B0F0"/>
            <w:vAlign w:val="bottom"/>
            <w:hideMark/>
          </w:tcPr>
          <w:p w:rsidR="00AF2122" w:rsidRPr="00993D07" w:rsidRDefault="00AF2122" w:rsidP="00FE5884">
            <w:pPr>
              <w:spacing w:line="240" w:lineRule="auto"/>
              <w:jc w:val="center"/>
              <w:rPr>
                <w:rFonts w:cs="Arial"/>
                <w:b/>
                <w:bCs/>
                <w:iCs/>
                <w:color w:val="FFFFFF"/>
                <w:sz w:val="16"/>
                <w:szCs w:val="16"/>
                <w:lang w:eastAsia="en-AU"/>
              </w:rPr>
            </w:pPr>
            <w:r w:rsidRPr="00993D07">
              <w:rPr>
                <w:rFonts w:cs="Arial"/>
                <w:b/>
                <w:bCs/>
                <w:iCs/>
                <w:color w:val="FFFFFF"/>
                <w:sz w:val="16"/>
                <w:szCs w:val="16"/>
                <w:lang w:eastAsia="en-AU"/>
              </w:rPr>
              <w:t>Sample Extrapolation</w:t>
            </w:r>
          </w:p>
          <w:p w:rsidR="00AF2122" w:rsidRPr="00993D07" w:rsidRDefault="00AF2122" w:rsidP="00FE5884">
            <w:pPr>
              <w:spacing w:line="240" w:lineRule="auto"/>
              <w:jc w:val="center"/>
              <w:rPr>
                <w:rFonts w:cs="Arial"/>
                <w:b/>
                <w:bCs/>
                <w:iCs/>
                <w:color w:val="FFFFFF"/>
                <w:sz w:val="16"/>
                <w:szCs w:val="16"/>
                <w:lang w:eastAsia="en-AU"/>
              </w:rPr>
            </w:pPr>
            <w:r w:rsidRPr="00993D07">
              <w:rPr>
                <w:rFonts w:cs="Arial"/>
                <w:b/>
                <w:bCs/>
                <w:iCs/>
                <w:color w:val="FFFFFF"/>
                <w:sz w:val="16"/>
                <w:szCs w:val="16"/>
                <w:lang w:eastAsia="en-AU"/>
              </w:rPr>
              <w:t>(3)</w:t>
            </w:r>
          </w:p>
        </w:tc>
        <w:tc>
          <w:tcPr>
            <w:tcW w:w="1217" w:type="dxa"/>
            <w:tcBorders>
              <w:top w:val="nil"/>
              <w:left w:val="nil"/>
              <w:bottom w:val="single" w:sz="8" w:space="0" w:color="009ADF"/>
              <w:right w:val="single" w:sz="8" w:space="0" w:color="FFFFFF"/>
            </w:tcBorders>
            <w:shd w:val="clear" w:color="000000" w:fill="00B0F0"/>
            <w:vAlign w:val="bottom"/>
            <w:hideMark/>
          </w:tcPr>
          <w:p w:rsidR="00AF2122" w:rsidRPr="00993D07" w:rsidRDefault="00AF2122" w:rsidP="00AF2122">
            <w:pPr>
              <w:spacing w:line="240" w:lineRule="auto"/>
              <w:jc w:val="center"/>
              <w:rPr>
                <w:rFonts w:cs="Arial"/>
                <w:b/>
                <w:bCs/>
                <w:iCs/>
                <w:color w:val="FFFFFF"/>
                <w:sz w:val="16"/>
                <w:szCs w:val="16"/>
                <w:lang w:eastAsia="en-AU"/>
              </w:rPr>
            </w:pPr>
            <w:r w:rsidRPr="00993D07">
              <w:rPr>
                <w:rFonts w:cs="Arial"/>
                <w:b/>
                <w:bCs/>
                <w:iCs/>
                <w:color w:val="FFFFFF"/>
                <w:sz w:val="16"/>
                <w:szCs w:val="16"/>
                <w:lang w:eastAsia="en-AU"/>
              </w:rPr>
              <w:t>Hourly Pay Rate Overlay</w:t>
            </w:r>
          </w:p>
          <w:p w:rsidR="00AF2122" w:rsidRPr="00993D07" w:rsidRDefault="00AF2122" w:rsidP="00AF2122">
            <w:pPr>
              <w:spacing w:line="240" w:lineRule="auto"/>
              <w:jc w:val="center"/>
              <w:rPr>
                <w:rFonts w:cs="Arial"/>
                <w:b/>
                <w:bCs/>
                <w:iCs/>
                <w:color w:val="FFFFFF"/>
                <w:sz w:val="16"/>
                <w:szCs w:val="16"/>
                <w:lang w:eastAsia="en-AU"/>
              </w:rPr>
            </w:pPr>
            <w:r w:rsidRPr="00993D07">
              <w:rPr>
                <w:rFonts w:cs="Arial"/>
                <w:b/>
                <w:bCs/>
                <w:iCs/>
                <w:color w:val="FFFFFF"/>
                <w:sz w:val="16"/>
                <w:szCs w:val="16"/>
                <w:lang w:eastAsia="en-AU"/>
              </w:rPr>
              <w:t>(4)</w:t>
            </w:r>
          </w:p>
        </w:tc>
        <w:tc>
          <w:tcPr>
            <w:tcW w:w="1299" w:type="dxa"/>
            <w:tcBorders>
              <w:top w:val="nil"/>
              <w:left w:val="nil"/>
              <w:bottom w:val="single" w:sz="8" w:space="0" w:color="009ADF"/>
              <w:right w:val="single" w:sz="8" w:space="0" w:color="009ADF"/>
            </w:tcBorders>
            <w:shd w:val="clear" w:color="000000" w:fill="00B0F0"/>
            <w:vAlign w:val="bottom"/>
            <w:hideMark/>
          </w:tcPr>
          <w:p w:rsidR="009B2D31" w:rsidRPr="00993D07" w:rsidRDefault="009B2D31" w:rsidP="00FE5884">
            <w:pPr>
              <w:spacing w:line="240" w:lineRule="auto"/>
              <w:jc w:val="center"/>
              <w:rPr>
                <w:rFonts w:cs="Arial"/>
                <w:b/>
                <w:bCs/>
                <w:iCs/>
                <w:color w:val="FFFFFF"/>
                <w:sz w:val="24"/>
                <w:szCs w:val="24"/>
                <w:lang w:eastAsia="en-AU"/>
              </w:rPr>
            </w:pPr>
            <w:r w:rsidRPr="00993D07">
              <w:rPr>
                <w:rFonts w:cs="Arial"/>
                <w:b/>
                <w:bCs/>
                <w:iCs/>
                <w:color w:val="FFFFFF"/>
                <w:sz w:val="24"/>
                <w:szCs w:val="24"/>
                <w:lang w:eastAsia="en-AU"/>
              </w:rPr>
              <w:t>FINAL</w:t>
            </w:r>
          </w:p>
          <w:p w:rsidR="009B2D31" w:rsidRPr="00993D07" w:rsidRDefault="009B2D31" w:rsidP="00FE5884">
            <w:pPr>
              <w:spacing w:line="240" w:lineRule="auto"/>
              <w:jc w:val="center"/>
              <w:rPr>
                <w:rFonts w:cs="Arial"/>
                <w:b/>
                <w:bCs/>
                <w:iCs/>
                <w:color w:val="FFFFFF"/>
                <w:sz w:val="16"/>
                <w:szCs w:val="16"/>
                <w:lang w:eastAsia="en-AU"/>
              </w:rPr>
            </w:pPr>
          </w:p>
          <w:p w:rsidR="00AF2122" w:rsidRPr="00A863FD" w:rsidRDefault="00A863FD" w:rsidP="00FE5884">
            <w:pPr>
              <w:spacing w:line="240" w:lineRule="auto"/>
              <w:jc w:val="center"/>
              <w:rPr>
                <w:rFonts w:cs="Arial"/>
                <w:b/>
                <w:bCs/>
                <w:iCs/>
                <w:color w:val="FFFFFF"/>
                <w:sz w:val="16"/>
                <w:szCs w:val="16"/>
                <w:lang w:eastAsia="en-AU"/>
              </w:rPr>
            </w:pPr>
            <w:r>
              <w:rPr>
                <w:rFonts w:cs="Arial"/>
                <w:b/>
                <w:bCs/>
                <w:iCs/>
                <w:color w:val="FFFFFF"/>
                <w:sz w:val="16"/>
                <w:szCs w:val="16"/>
                <w:lang w:eastAsia="en-AU"/>
              </w:rPr>
              <w:t xml:space="preserve">Staff </w:t>
            </w:r>
            <w:r w:rsidR="00416505">
              <w:rPr>
                <w:rFonts w:cs="Arial"/>
                <w:b/>
                <w:bCs/>
                <w:iCs/>
                <w:color w:val="FFFFFF"/>
                <w:sz w:val="16"/>
                <w:szCs w:val="16"/>
                <w:lang w:eastAsia="en-AU"/>
              </w:rPr>
              <w:t xml:space="preserve">Identified Primarily to </w:t>
            </w:r>
            <w:r>
              <w:rPr>
                <w:rFonts w:cs="Arial"/>
                <w:b/>
                <w:bCs/>
                <w:iCs/>
                <w:color w:val="FFFFFF"/>
                <w:sz w:val="16"/>
                <w:szCs w:val="16"/>
                <w:lang w:eastAsia="en-AU"/>
              </w:rPr>
              <w:t>a Board</w:t>
            </w:r>
            <w:r w:rsidR="009B2D31" w:rsidRPr="00A863FD">
              <w:rPr>
                <w:rFonts w:cs="Arial"/>
                <w:b/>
                <w:bCs/>
                <w:iCs/>
                <w:color w:val="FFFFFF"/>
                <w:sz w:val="16"/>
                <w:szCs w:val="16"/>
                <w:lang w:eastAsia="en-AU"/>
              </w:rPr>
              <w:t xml:space="preserve"> Adjustments</w:t>
            </w:r>
          </w:p>
          <w:p w:rsidR="009B2D31" w:rsidRPr="00993D07" w:rsidRDefault="005F741A" w:rsidP="00FE5884">
            <w:pPr>
              <w:spacing w:line="240" w:lineRule="auto"/>
              <w:jc w:val="center"/>
              <w:rPr>
                <w:rFonts w:cs="Arial"/>
                <w:b/>
                <w:bCs/>
                <w:iCs/>
                <w:color w:val="FFFFFF"/>
                <w:sz w:val="16"/>
                <w:szCs w:val="16"/>
                <w:lang w:eastAsia="en-AU"/>
              </w:rPr>
            </w:pPr>
            <w:r>
              <w:rPr>
                <w:rFonts w:cs="Arial"/>
                <w:b/>
                <w:bCs/>
                <w:iCs/>
                <w:color w:val="FFFFFF"/>
                <w:sz w:val="16"/>
                <w:szCs w:val="16"/>
                <w:lang w:eastAsia="en-AU"/>
              </w:rPr>
              <w:t>(5)</w:t>
            </w:r>
          </w:p>
        </w:tc>
      </w:tr>
      <w:tr w:rsidR="00416505" w:rsidRPr="00993D07" w:rsidTr="00AF2122">
        <w:trPr>
          <w:trHeight w:val="315"/>
        </w:trPr>
        <w:tc>
          <w:tcPr>
            <w:tcW w:w="2670" w:type="dxa"/>
            <w:tcBorders>
              <w:top w:val="nil"/>
              <w:left w:val="single" w:sz="8" w:space="0" w:color="00B0F0"/>
              <w:bottom w:val="single" w:sz="8" w:space="0" w:color="009ADF"/>
              <w:right w:val="single" w:sz="8" w:space="0" w:color="FFFFFF"/>
            </w:tcBorders>
            <w:shd w:val="clear" w:color="000000" w:fill="00B0F0"/>
            <w:vAlign w:val="bottom"/>
            <w:hideMark/>
          </w:tcPr>
          <w:p w:rsidR="00AF2122" w:rsidRPr="00993D07" w:rsidRDefault="00AF2122" w:rsidP="00AF2122">
            <w:pPr>
              <w:spacing w:line="240" w:lineRule="auto"/>
              <w:rPr>
                <w:rFonts w:cs="Arial"/>
                <w:b/>
                <w:bCs/>
                <w:i/>
                <w:iCs/>
                <w:color w:val="FFFFFF"/>
                <w:sz w:val="16"/>
                <w:szCs w:val="16"/>
                <w:lang w:eastAsia="en-AU"/>
              </w:rPr>
            </w:pPr>
            <w:r w:rsidRPr="00993D07">
              <w:rPr>
                <w:rFonts w:cs="Arial"/>
                <w:b/>
                <w:bCs/>
                <w:i/>
                <w:iCs/>
                <w:color w:val="FFFFFF"/>
                <w:sz w:val="16"/>
                <w:szCs w:val="16"/>
                <w:lang w:eastAsia="en-AU"/>
              </w:rPr>
              <w:t>Driver</w:t>
            </w:r>
          </w:p>
        </w:tc>
        <w:tc>
          <w:tcPr>
            <w:tcW w:w="1239" w:type="dxa"/>
            <w:tcBorders>
              <w:top w:val="nil"/>
              <w:left w:val="nil"/>
              <w:bottom w:val="single" w:sz="8" w:space="0" w:color="009ADF"/>
              <w:right w:val="single" w:sz="8" w:space="0" w:color="FFFFFF"/>
            </w:tcBorders>
            <w:shd w:val="clear" w:color="000000" w:fill="00B0F0"/>
            <w:vAlign w:val="bottom"/>
            <w:hideMark/>
          </w:tcPr>
          <w:p w:rsidR="00AF2122" w:rsidRPr="00993D07" w:rsidRDefault="00AF2122" w:rsidP="00AF2122">
            <w:pPr>
              <w:spacing w:line="240" w:lineRule="auto"/>
              <w:jc w:val="center"/>
              <w:rPr>
                <w:rFonts w:cs="Arial"/>
                <w:b/>
                <w:bCs/>
                <w:i/>
                <w:iCs/>
                <w:color w:val="FFFFFF"/>
                <w:sz w:val="16"/>
                <w:szCs w:val="16"/>
                <w:lang w:eastAsia="en-AU"/>
              </w:rPr>
            </w:pPr>
            <w:r w:rsidRPr="00993D07">
              <w:rPr>
                <w:rFonts w:cs="Arial"/>
                <w:b/>
                <w:bCs/>
                <w:i/>
                <w:iCs/>
                <w:color w:val="FFFFFF"/>
                <w:sz w:val="16"/>
                <w:szCs w:val="16"/>
                <w:lang w:eastAsia="en-AU"/>
              </w:rPr>
              <w:t>Hours</w:t>
            </w:r>
          </w:p>
        </w:tc>
        <w:tc>
          <w:tcPr>
            <w:tcW w:w="1358" w:type="dxa"/>
            <w:tcBorders>
              <w:top w:val="nil"/>
              <w:left w:val="nil"/>
              <w:bottom w:val="single" w:sz="8" w:space="0" w:color="009ADF"/>
              <w:right w:val="single" w:sz="8" w:space="0" w:color="FFFFFF"/>
            </w:tcBorders>
            <w:shd w:val="clear" w:color="000000" w:fill="00B0F0"/>
            <w:vAlign w:val="bottom"/>
            <w:hideMark/>
          </w:tcPr>
          <w:p w:rsidR="00AF2122" w:rsidRPr="00993D07" w:rsidRDefault="00AF2122" w:rsidP="00AF2122">
            <w:pPr>
              <w:spacing w:line="240" w:lineRule="auto"/>
              <w:jc w:val="center"/>
              <w:rPr>
                <w:rFonts w:cs="Arial"/>
                <w:b/>
                <w:bCs/>
                <w:i/>
                <w:iCs/>
                <w:color w:val="FFFFFF"/>
                <w:sz w:val="16"/>
                <w:szCs w:val="16"/>
                <w:lang w:eastAsia="en-AU"/>
              </w:rPr>
            </w:pPr>
            <w:r w:rsidRPr="00993D07">
              <w:rPr>
                <w:rFonts w:cs="Arial"/>
                <w:b/>
                <w:bCs/>
                <w:i/>
                <w:iCs/>
                <w:color w:val="FFFFFF"/>
                <w:sz w:val="16"/>
                <w:szCs w:val="16"/>
                <w:lang w:eastAsia="en-AU"/>
              </w:rPr>
              <w:t>Hours</w:t>
            </w:r>
          </w:p>
        </w:tc>
        <w:tc>
          <w:tcPr>
            <w:tcW w:w="1577" w:type="dxa"/>
            <w:tcBorders>
              <w:top w:val="nil"/>
              <w:left w:val="nil"/>
              <w:bottom w:val="single" w:sz="8" w:space="0" w:color="009ADF"/>
              <w:right w:val="single" w:sz="8" w:space="0" w:color="FFFFFF"/>
            </w:tcBorders>
            <w:shd w:val="clear" w:color="000000" w:fill="00B0F0"/>
            <w:vAlign w:val="bottom"/>
            <w:hideMark/>
          </w:tcPr>
          <w:p w:rsidR="00AF2122" w:rsidRPr="00993D07" w:rsidRDefault="00AF2122" w:rsidP="00AF2122">
            <w:pPr>
              <w:spacing w:line="240" w:lineRule="auto"/>
              <w:jc w:val="center"/>
              <w:rPr>
                <w:rFonts w:cs="Arial"/>
                <w:b/>
                <w:bCs/>
                <w:i/>
                <w:iCs/>
                <w:color w:val="FFFFFF"/>
                <w:sz w:val="16"/>
                <w:szCs w:val="16"/>
                <w:lang w:eastAsia="en-AU"/>
              </w:rPr>
            </w:pPr>
            <w:r w:rsidRPr="00993D07">
              <w:rPr>
                <w:rFonts w:cs="Arial"/>
                <w:b/>
                <w:bCs/>
                <w:i/>
                <w:iCs/>
                <w:color w:val="FFFFFF"/>
                <w:sz w:val="16"/>
                <w:szCs w:val="16"/>
                <w:lang w:eastAsia="en-AU"/>
              </w:rPr>
              <w:t>Hours</w:t>
            </w:r>
          </w:p>
        </w:tc>
        <w:tc>
          <w:tcPr>
            <w:tcW w:w="1217" w:type="dxa"/>
            <w:tcBorders>
              <w:top w:val="nil"/>
              <w:left w:val="nil"/>
              <w:bottom w:val="single" w:sz="8" w:space="0" w:color="009ADF"/>
              <w:right w:val="single" w:sz="8" w:space="0" w:color="FFFFFF"/>
            </w:tcBorders>
            <w:shd w:val="clear" w:color="000000" w:fill="00B0F0"/>
            <w:hideMark/>
          </w:tcPr>
          <w:p w:rsidR="003A345A" w:rsidRPr="00993D07" w:rsidRDefault="003A345A" w:rsidP="00AF2122">
            <w:pPr>
              <w:spacing w:line="240" w:lineRule="auto"/>
              <w:jc w:val="center"/>
              <w:rPr>
                <w:rFonts w:cs="Arial"/>
                <w:b/>
                <w:bCs/>
                <w:i/>
                <w:iCs/>
                <w:color w:val="FFFFFF"/>
                <w:sz w:val="16"/>
                <w:szCs w:val="16"/>
                <w:lang w:eastAsia="en-AU"/>
              </w:rPr>
            </w:pPr>
          </w:p>
          <w:p w:rsidR="00AF2122" w:rsidRPr="00993D07" w:rsidRDefault="00AF2122" w:rsidP="00AF2122">
            <w:pPr>
              <w:spacing w:line="240" w:lineRule="auto"/>
              <w:jc w:val="center"/>
              <w:rPr>
                <w:rFonts w:cs="Arial"/>
                <w:b/>
                <w:bCs/>
                <w:i/>
                <w:iCs/>
                <w:color w:val="FFFFFF"/>
                <w:sz w:val="16"/>
                <w:szCs w:val="16"/>
                <w:lang w:eastAsia="en-AU"/>
              </w:rPr>
            </w:pPr>
            <w:r w:rsidRPr="00993D07">
              <w:rPr>
                <w:rFonts w:cs="Arial"/>
                <w:b/>
                <w:bCs/>
                <w:i/>
                <w:iCs/>
                <w:color w:val="FFFFFF"/>
                <w:sz w:val="16"/>
                <w:szCs w:val="16"/>
                <w:lang w:eastAsia="en-AU"/>
              </w:rPr>
              <w:t>$</w:t>
            </w:r>
          </w:p>
        </w:tc>
        <w:tc>
          <w:tcPr>
            <w:tcW w:w="1299" w:type="dxa"/>
            <w:tcBorders>
              <w:top w:val="nil"/>
              <w:left w:val="nil"/>
              <w:bottom w:val="single" w:sz="8" w:space="0" w:color="009ADF"/>
              <w:right w:val="single" w:sz="8" w:space="0" w:color="009ADF"/>
            </w:tcBorders>
            <w:shd w:val="clear" w:color="000000" w:fill="00B0F0"/>
            <w:vAlign w:val="bottom"/>
            <w:hideMark/>
          </w:tcPr>
          <w:p w:rsidR="00AF2122" w:rsidRPr="00993D07" w:rsidRDefault="00AF2122" w:rsidP="00AF2122">
            <w:pPr>
              <w:spacing w:line="240" w:lineRule="auto"/>
              <w:jc w:val="center"/>
              <w:rPr>
                <w:rFonts w:cs="Arial"/>
                <w:b/>
                <w:bCs/>
                <w:i/>
                <w:iCs/>
                <w:color w:val="FFFFFF"/>
                <w:sz w:val="16"/>
                <w:szCs w:val="16"/>
                <w:lang w:eastAsia="en-AU"/>
              </w:rPr>
            </w:pPr>
            <w:r w:rsidRPr="00993D07">
              <w:rPr>
                <w:rFonts w:cs="Arial"/>
                <w:b/>
                <w:bCs/>
                <w:i/>
                <w:iCs/>
                <w:color w:val="FFFFFF"/>
                <w:sz w:val="16"/>
                <w:szCs w:val="16"/>
                <w:lang w:eastAsia="en-AU"/>
              </w:rPr>
              <w:t>$</w:t>
            </w:r>
          </w:p>
        </w:tc>
      </w:tr>
      <w:tr w:rsidR="00416505" w:rsidRPr="00993D07" w:rsidTr="00AF2122">
        <w:trPr>
          <w:trHeight w:val="315"/>
        </w:trPr>
        <w:tc>
          <w:tcPr>
            <w:tcW w:w="2670"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Aboriginal and Torres Strait Islander Health Practice</w:t>
            </w:r>
          </w:p>
        </w:tc>
        <w:tc>
          <w:tcPr>
            <w:tcW w:w="123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0.01%</w:t>
            </w:r>
          </w:p>
        </w:tc>
        <w:tc>
          <w:tcPr>
            <w:tcW w:w="1358"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0.01%</w:t>
            </w:r>
          </w:p>
        </w:tc>
        <w:tc>
          <w:tcPr>
            <w:tcW w:w="157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0.01%</w:t>
            </w:r>
          </w:p>
        </w:tc>
        <w:tc>
          <w:tcPr>
            <w:tcW w:w="121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0.01%</w:t>
            </w:r>
          </w:p>
        </w:tc>
        <w:tc>
          <w:tcPr>
            <w:tcW w:w="129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0.19%</w:t>
            </w:r>
          </w:p>
        </w:tc>
      </w:tr>
      <w:tr w:rsidR="00416505" w:rsidRPr="00993D07" w:rsidTr="00AF2122">
        <w:trPr>
          <w:trHeight w:val="315"/>
        </w:trPr>
        <w:tc>
          <w:tcPr>
            <w:tcW w:w="2670"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Chinese Medicine</w:t>
            </w:r>
          </w:p>
        </w:tc>
        <w:tc>
          <w:tcPr>
            <w:tcW w:w="123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1.43%</w:t>
            </w:r>
          </w:p>
        </w:tc>
        <w:tc>
          <w:tcPr>
            <w:tcW w:w="1358"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1.32%</w:t>
            </w:r>
          </w:p>
        </w:tc>
        <w:tc>
          <w:tcPr>
            <w:tcW w:w="157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0.95%</w:t>
            </w:r>
          </w:p>
        </w:tc>
        <w:tc>
          <w:tcPr>
            <w:tcW w:w="121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0.94%</w:t>
            </w:r>
          </w:p>
        </w:tc>
        <w:tc>
          <w:tcPr>
            <w:tcW w:w="129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1.06%</w:t>
            </w:r>
          </w:p>
        </w:tc>
      </w:tr>
      <w:tr w:rsidR="00416505" w:rsidRPr="00993D07" w:rsidTr="00AF2122">
        <w:trPr>
          <w:trHeight w:val="315"/>
        </w:trPr>
        <w:tc>
          <w:tcPr>
            <w:tcW w:w="2670"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Chiropractic</w:t>
            </w:r>
          </w:p>
        </w:tc>
        <w:tc>
          <w:tcPr>
            <w:tcW w:w="123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1.51%</w:t>
            </w:r>
          </w:p>
        </w:tc>
        <w:tc>
          <w:tcPr>
            <w:tcW w:w="1358"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1.40%</w:t>
            </w:r>
          </w:p>
        </w:tc>
        <w:tc>
          <w:tcPr>
            <w:tcW w:w="157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1.37%</w:t>
            </w:r>
          </w:p>
        </w:tc>
        <w:tc>
          <w:tcPr>
            <w:tcW w:w="121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1.33%</w:t>
            </w:r>
          </w:p>
        </w:tc>
        <w:tc>
          <w:tcPr>
            <w:tcW w:w="129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1.42%</w:t>
            </w:r>
          </w:p>
        </w:tc>
      </w:tr>
      <w:tr w:rsidR="00416505" w:rsidRPr="00993D07" w:rsidTr="00AF2122">
        <w:trPr>
          <w:trHeight w:val="315"/>
        </w:trPr>
        <w:tc>
          <w:tcPr>
            <w:tcW w:w="2670"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 xml:space="preserve">Dental </w:t>
            </w:r>
          </w:p>
        </w:tc>
        <w:tc>
          <w:tcPr>
            <w:tcW w:w="123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6.32%</w:t>
            </w:r>
          </w:p>
        </w:tc>
        <w:tc>
          <w:tcPr>
            <w:tcW w:w="1358"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5.85%</w:t>
            </w:r>
          </w:p>
        </w:tc>
        <w:tc>
          <w:tcPr>
            <w:tcW w:w="157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5.84%</w:t>
            </w:r>
          </w:p>
        </w:tc>
        <w:tc>
          <w:tcPr>
            <w:tcW w:w="121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6.00%</w:t>
            </w:r>
          </w:p>
        </w:tc>
        <w:tc>
          <w:tcPr>
            <w:tcW w:w="129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6.22%</w:t>
            </w:r>
          </w:p>
        </w:tc>
      </w:tr>
      <w:tr w:rsidR="00416505" w:rsidRPr="00993D07" w:rsidTr="00AF2122">
        <w:trPr>
          <w:trHeight w:val="315"/>
        </w:trPr>
        <w:tc>
          <w:tcPr>
            <w:tcW w:w="2670"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Medical</w:t>
            </w:r>
          </w:p>
        </w:tc>
        <w:tc>
          <w:tcPr>
            <w:tcW w:w="123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38.86%</w:t>
            </w:r>
          </w:p>
        </w:tc>
        <w:tc>
          <w:tcPr>
            <w:tcW w:w="1358"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35.92%</w:t>
            </w:r>
          </w:p>
        </w:tc>
        <w:tc>
          <w:tcPr>
            <w:tcW w:w="157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36.09%</w:t>
            </w:r>
          </w:p>
        </w:tc>
        <w:tc>
          <w:tcPr>
            <w:tcW w:w="121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37.17%</w:t>
            </w:r>
          </w:p>
        </w:tc>
        <w:tc>
          <w:tcPr>
            <w:tcW w:w="129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35.60%</w:t>
            </w:r>
          </w:p>
        </w:tc>
      </w:tr>
      <w:tr w:rsidR="00416505" w:rsidRPr="00993D07" w:rsidTr="00AF2122">
        <w:trPr>
          <w:trHeight w:val="315"/>
        </w:trPr>
        <w:tc>
          <w:tcPr>
            <w:tcW w:w="2670"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 xml:space="preserve">Medical Radiation </w:t>
            </w:r>
          </w:p>
        </w:tc>
        <w:tc>
          <w:tcPr>
            <w:tcW w:w="123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1.32%</w:t>
            </w:r>
          </w:p>
        </w:tc>
        <w:tc>
          <w:tcPr>
            <w:tcW w:w="1358"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1.22%</w:t>
            </w:r>
          </w:p>
        </w:tc>
        <w:tc>
          <w:tcPr>
            <w:tcW w:w="157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1.19%</w:t>
            </w:r>
          </w:p>
        </w:tc>
        <w:tc>
          <w:tcPr>
            <w:tcW w:w="121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1.15%</w:t>
            </w:r>
          </w:p>
        </w:tc>
        <w:tc>
          <w:tcPr>
            <w:tcW w:w="129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1.25%</w:t>
            </w:r>
          </w:p>
        </w:tc>
      </w:tr>
      <w:tr w:rsidR="00416505" w:rsidRPr="00993D07" w:rsidTr="00AF2122">
        <w:trPr>
          <w:trHeight w:val="315"/>
        </w:trPr>
        <w:tc>
          <w:tcPr>
            <w:tcW w:w="2670"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Nursing and Midwifery</w:t>
            </w:r>
          </w:p>
        </w:tc>
        <w:tc>
          <w:tcPr>
            <w:tcW w:w="123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30.90%</w:t>
            </w:r>
          </w:p>
        </w:tc>
        <w:tc>
          <w:tcPr>
            <w:tcW w:w="1358"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35.66%</w:t>
            </w:r>
          </w:p>
        </w:tc>
        <w:tc>
          <w:tcPr>
            <w:tcW w:w="157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36.34%</w:t>
            </w:r>
          </w:p>
        </w:tc>
        <w:tc>
          <w:tcPr>
            <w:tcW w:w="121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35.75%</w:t>
            </w:r>
          </w:p>
        </w:tc>
        <w:tc>
          <w:tcPr>
            <w:tcW w:w="129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34.88%</w:t>
            </w:r>
          </w:p>
        </w:tc>
      </w:tr>
      <w:tr w:rsidR="00416505" w:rsidRPr="00993D07" w:rsidTr="00AF2122">
        <w:trPr>
          <w:trHeight w:val="315"/>
        </w:trPr>
        <w:tc>
          <w:tcPr>
            <w:tcW w:w="2670"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Occupational Therapy</w:t>
            </w:r>
          </w:p>
        </w:tc>
        <w:tc>
          <w:tcPr>
            <w:tcW w:w="123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2.26%</w:t>
            </w:r>
          </w:p>
        </w:tc>
        <w:tc>
          <w:tcPr>
            <w:tcW w:w="1358"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2.09%</w:t>
            </w:r>
          </w:p>
        </w:tc>
        <w:tc>
          <w:tcPr>
            <w:tcW w:w="157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2.09%</w:t>
            </w:r>
          </w:p>
        </w:tc>
        <w:tc>
          <w:tcPr>
            <w:tcW w:w="121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1.98%</w:t>
            </w:r>
          </w:p>
        </w:tc>
        <w:tc>
          <w:tcPr>
            <w:tcW w:w="129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2.06%</w:t>
            </w:r>
          </w:p>
        </w:tc>
      </w:tr>
      <w:tr w:rsidR="00416505" w:rsidRPr="00993D07" w:rsidTr="00AF2122">
        <w:trPr>
          <w:trHeight w:val="315"/>
        </w:trPr>
        <w:tc>
          <w:tcPr>
            <w:tcW w:w="2670"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Optometry</w:t>
            </w:r>
          </w:p>
        </w:tc>
        <w:tc>
          <w:tcPr>
            <w:tcW w:w="123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0.68%</w:t>
            </w:r>
          </w:p>
        </w:tc>
        <w:tc>
          <w:tcPr>
            <w:tcW w:w="1358"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0.63%</w:t>
            </w:r>
          </w:p>
        </w:tc>
        <w:tc>
          <w:tcPr>
            <w:tcW w:w="157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0.61%</w:t>
            </w:r>
          </w:p>
        </w:tc>
        <w:tc>
          <w:tcPr>
            <w:tcW w:w="121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0.56%</w:t>
            </w:r>
          </w:p>
        </w:tc>
        <w:tc>
          <w:tcPr>
            <w:tcW w:w="129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0.68%</w:t>
            </w:r>
          </w:p>
        </w:tc>
      </w:tr>
      <w:tr w:rsidR="00416505" w:rsidRPr="00993D07" w:rsidTr="00AF2122">
        <w:trPr>
          <w:trHeight w:val="315"/>
        </w:trPr>
        <w:tc>
          <w:tcPr>
            <w:tcW w:w="2670"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Osteopathy</w:t>
            </w:r>
          </w:p>
        </w:tc>
        <w:tc>
          <w:tcPr>
            <w:tcW w:w="123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0.31%</w:t>
            </w:r>
          </w:p>
        </w:tc>
        <w:tc>
          <w:tcPr>
            <w:tcW w:w="1358"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0.29%</w:t>
            </w:r>
          </w:p>
        </w:tc>
        <w:tc>
          <w:tcPr>
            <w:tcW w:w="157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0.27%</w:t>
            </w:r>
          </w:p>
        </w:tc>
        <w:tc>
          <w:tcPr>
            <w:tcW w:w="121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0.25%</w:t>
            </w:r>
          </w:p>
        </w:tc>
        <w:tc>
          <w:tcPr>
            <w:tcW w:w="129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0.40%</w:t>
            </w:r>
          </w:p>
        </w:tc>
      </w:tr>
      <w:tr w:rsidR="00416505" w:rsidRPr="00993D07" w:rsidTr="00AF2122">
        <w:trPr>
          <w:trHeight w:val="315"/>
        </w:trPr>
        <w:tc>
          <w:tcPr>
            <w:tcW w:w="2670"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Pharmacy</w:t>
            </w:r>
          </w:p>
        </w:tc>
        <w:tc>
          <w:tcPr>
            <w:tcW w:w="123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5.59%</w:t>
            </w:r>
          </w:p>
        </w:tc>
        <w:tc>
          <w:tcPr>
            <w:tcW w:w="1358"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5.17%</w:t>
            </w:r>
          </w:p>
        </w:tc>
        <w:tc>
          <w:tcPr>
            <w:tcW w:w="157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5.09%</w:t>
            </w:r>
          </w:p>
        </w:tc>
        <w:tc>
          <w:tcPr>
            <w:tcW w:w="121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4.87%</w:t>
            </w:r>
          </w:p>
        </w:tc>
        <w:tc>
          <w:tcPr>
            <w:tcW w:w="129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5.43%</w:t>
            </w:r>
          </w:p>
        </w:tc>
      </w:tr>
      <w:tr w:rsidR="00416505" w:rsidRPr="00993D07" w:rsidTr="00AF2122">
        <w:trPr>
          <w:trHeight w:val="315"/>
        </w:trPr>
        <w:tc>
          <w:tcPr>
            <w:tcW w:w="2670"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Physiotherapy</w:t>
            </w:r>
          </w:p>
        </w:tc>
        <w:tc>
          <w:tcPr>
            <w:tcW w:w="123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2.56%</w:t>
            </w:r>
          </w:p>
        </w:tc>
        <w:tc>
          <w:tcPr>
            <w:tcW w:w="1358"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2.81%</w:t>
            </w:r>
          </w:p>
        </w:tc>
        <w:tc>
          <w:tcPr>
            <w:tcW w:w="157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2.56%</w:t>
            </w:r>
          </w:p>
        </w:tc>
        <w:tc>
          <w:tcPr>
            <w:tcW w:w="121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2.40%</w:t>
            </w:r>
          </w:p>
        </w:tc>
        <w:tc>
          <w:tcPr>
            <w:tcW w:w="129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2.43%</w:t>
            </w:r>
          </w:p>
        </w:tc>
      </w:tr>
      <w:tr w:rsidR="00416505" w:rsidRPr="00993D07" w:rsidTr="00AF2122">
        <w:trPr>
          <w:trHeight w:val="315"/>
        </w:trPr>
        <w:tc>
          <w:tcPr>
            <w:tcW w:w="2670"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Podiatry</w:t>
            </w:r>
          </w:p>
        </w:tc>
        <w:tc>
          <w:tcPr>
            <w:tcW w:w="123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0.60%</w:t>
            </w:r>
          </w:p>
        </w:tc>
        <w:tc>
          <w:tcPr>
            <w:tcW w:w="1358"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0.55%</w:t>
            </w:r>
          </w:p>
        </w:tc>
        <w:tc>
          <w:tcPr>
            <w:tcW w:w="157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0.51%</w:t>
            </w:r>
          </w:p>
        </w:tc>
        <w:tc>
          <w:tcPr>
            <w:tcW w:w="121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0.51%</w:t>
            </w:r>
          </w:p>
        </w:tc>
        <w:tc>
          <w:tcPr>
            <w:tcW w:w="129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0.64%</w:t>
            </w:r>
          </w:p>
        </w:tc>
      </w:tr>
      <w:tr w:rsidR="00416505" w:rsidRPr="00993D07" w:rsidTr="00AF2122">
        <w:trPr>
          <w:trHeight w:val="315"/>
        </w:trPr>
        <w:tc>
          <w:tcPr>
            <w:tcW w:w="2670"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Psychology</w:t>
            </w:r>
          </w:p>
        </w:tc>
        <w:tc>
          <w:tcPr>
            <w:tcW w:w="123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7.65%</w:t>
            </w:r>
          </w:p>
        </w:tc>
        <w:tc>
          <w:tcPr>
            <w:tcW w:w="1358"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7.08%</w:t>
            </w:r>
          </w:p>
        </w:tc>
        <w:tc>
          <w:tcPr>
            <w:tcW w:w="157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7.08%</w:t>
            </w:r>
          </w:p>
        </w:tc>
        <w:tc>
          <w:tcPr>
            <w:tcW w:w="121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7.08%</w:t>
            </w:r>
          </w:p>
        </w:tc>
        <w:tc>
          <w:tcPr>
            <w:tcW w:w="129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7.74%</w:t>
            </w:r>
          </w:p>
        </w:tc>
      </w:tr>
      <w:tr w:rsidR="00416505" w:rsidRPr="00993D07" w:rsidTr="00AF2122">
        <w:trPr>
          <w:trHeight w:val="315"/>
        </w:trPr>
        <w:tc>
          <w:tcPr>
            <w:tcW w:w="2670" w:type="dxa"/>
            <w:tcBorders>
              <w:top w:val="nil"/>
              <w:left w:val="single" w:sz="8" w:space="0" w:color="009ADF"/>
              <w:bottom w:val="single" w:sz="8" w:space="0" w:color="009ADF"/>
              <w:right w:val="single" w:sz="8" w:space="0" w:color="009ADF"/>
            </w:tcBorders>
            <w:shd w:val="clear" w:color="000000" w:fill="D9D9D9"/>
            <w:vAlign w:val="bottom"/>
            <w:hideMark/>
          </w:tcPr>
          <w:p w:rsidR="00AF2122" w:rsidRPr="00993D07" w:rsidRDefault="00AF2122" w:rsidP="00AF2122">
            <w:pPr>
              <w:spacing w:line="240" w:lineRule="auto"/>
              <w:rPr>
                <w:rFonts w:cs="Arial"/>
                <w:b/>
                <w:bCs/>
                <w:i/>
                <w:iCs/>
                <w:color w:val="000000"/>
                <w:sz w:val="18"/>
                <w:szCs w:val="18"/>
                <w:lang w:eastAsia="en-AU"/>
              </w:rPr>
            </w:pPr>
            <w:r w:rsidRPr="00993D07">
              <w:rPr>
                <w:rFonts w:cs="Arial"/>
                <w:b/>
                <w:bCs/>
                <w:i/>
                <w:iCs/>
                <w:color w:val="000000"/>
                <w:sz w:val="18"/>
                <w:szCs w:val="18"/>
                <w:lang w:eastAsia="en-AU"/>
              </w:rPr>
              <w:t>Total</w:t>
            </w:r>
          </w:p>
        </w:tc>
        <w:tc>
          <w:tcPr>
            <w:tcW w:w="123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100.00%</w:t>
            </w:r>
          </w:p>
        </w:tc>
        <w:tc>
          <w:tcPr>
            <w:tcW w:w="1358"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100.00%</w:t>
            </w:r>
          </w:p>
        </w:tc>
        <w:tc>
          <w:tcPr>
            <w:tcW w:w="157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100.00%</w:t>
            </w:r>
          </w:p>
        </w:tc>
        <w:tc>
          <w:tcPr>
            <w:tcW w:w="1217"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Cs/>
                <w:color w:val="000000"/>
                <w:sz w:val="16"/>
                <w:szCs w:val="16"/>
                <w:lang w:eastAsia="en-AU"/>
              </w:rPr>
            </w:pPr>
            <w:r w:rsidRPr="00993D07">
              <w:rPr>
                <w:rFonts w:cs="Arial"/>
                <w:bCs/>
                <w:color w:val="000000"/>
                <w:sz w:val="16"/>
                <w:szCs w:val="16"/>
                <w:lang w:eastAsia="en-AU"/>
              </w:rPr>
              <w:t>100.00%</w:t>
            </w:r>
          </w:p>
        </w:tc>
        <w:tc>
          <w:tcPr>
            <w:tcW w:w="1299" w:type="dxa"/>
            <w:tcBorders>
              <w:top w:val="nil"/>
              <w:left w:val="nil"/>
              <w:bottom w:val="single" w:sz="8" w:space="0" w:color="009ADF"/>
              <w:right w:val="single" w:sz="8" w:space="0" w:color="009ADF"/>
            </w:tcBorders>
            <w:shd w:val="clear" w:color="000000" w:fill="F2F2F2"/>
            <w:vAlign w:val="bottom"/>
            <w:hideMark/>
          </w:tcPr>
          <w:p w:rsidR="00AF2122" w:rsidRPr="00993D07" w:rsidRDefault="00AF2122" w:rsidP="00AF2122">
            <w:pPr>
              <w:spacing w:line="240" w:lineRule="auto"/>
              <w:jc w:val="center"/>
              <w:rPr>
                <w:rFonts w:cs="Arial"/>
                <w:b/>
                <w:bCs/>
                <w:color w:val="000000"/>
                <w:sz w:val="18"/>
                <w:szCs w:val="18"/>
                <w:lang w:eastAsia="en-AU"/>
              </w:rPr>
            </w:pPr>
            <w:r w:rsidRPr="00993D07">
              <w:rPr>
                <w:rFonts w:cs="Arial"/>
                <w:b/>
                <w:bCs/>
                <w:color w:val="000000"/>
                <w:sz w:val="18"/>
                <w:szCs w:val="18"/>
                <w:lang w:eastAsia="en-AU"/>
              </w:rPr>
              <w:t>100.00%</w:t>
            </w:r>
          </w:p>
        </w:tc>
      </w:tr>
    </w:tbl>
    <w:p w:rsidR="00AA6420" w:rsidRPr="00993D07" w:rsidRDefault="00AA6420" w:rsidP="00AA6420">
      <w:pPr>
        <w:pStyle w:val="DefaultText"/>
        <w:spacing w:line="260" w:lineRule="atLeast"/>
        <w:rPr>
          <w:rFonts w:cs="Arial"/>
          <w:sz w:val="22"/>
        </w:rPr>
      </w:pPr>
    </w:p>
    <w:p w:rsidR="00AA6420" w:rsidRPr="00993D07" w:rsidRDefault="002C45A1" w:rsidP="002C45A1">
      <w:pPr>
        <w:pStyle w:val="DefaultText"/>
        <w:numPr>
          <w:ilvl w:val="0"/>
          <w:numId w:val="33"/>
        </w:numPr>
        <w:spacing w:line="260" w:lineRule="atLeast"/>
        <w:rPr>
          <w:rFonts w:cs="Arial"/>
          <w:sz w:val="20"/>
        </w:rPr>
      </w:pPr>
      <w:r w:rsidRPr="00993D07">
        <w:rPr>
          <w:rFonts w:cs="Arial"/>
          <w:sz w:val="20"/>
        </w:rPr>
        <w:t xml:space="preserve">Base </w:t>
      </w:r>
      <w:r w:rsidR="00064535" w:rsidRPr="00993D07">
        <w:rPr>
          <w:rFonts w:cs="Arial"/>
          <w:sz w:val="20"/>
        </w:rPr>
        <w:t xml:space="preserve">timesheet </w:t>
      </w:r>
      <w:r w:rsidR="009950D7" w:rsidRPr="00993D07">
        <w:rPr>
          <w:rFonts w:cs="Arial"/>
          <w:sz w:val="20"/>
        </w:rPr>
        <w:t>d</w:t>
      </w:r>
      <w:r w:rsidRPr="00993D07">
        <w:rPr>
          <w:rFonts w:cs="Arial"/>
          <w:sz w:val="20"/>
        </w:rPr>
        <w:t>ata – This column represents the percentage cost allocation derived from the collation of the base timesheet data.  There have been no adjustments made and no filtering of the results at this point.</w:t>
      </w:r>
    </w:p>
    <w:p w:rsidR="002C45A1" w:rsidRPr="00993D07" w:rsidRDefault="002C45A1" w:rsidP="002C45A1">
      <w:pPr>
        <w:pStyle w:val="DefaultText"/>
        <w:spacing w:line="260" w:lineRule="atLeast"/>
        <w:ind w:left="720"/>
        <w:rPr>
          <w:rFonts w:cs="Arial"/>
          <w:sz w:val="20"/>
        </w:rPr>
      </w:pPr>
    </w:p>
    <w:p w:rsidR="002C45A1" w:rsidRPr="00993D07" w:rsidRDefault="00064535" w:rsidP="002C45A1">
      <w:pPr>
        <w:pStyle w:val="DefaultText"/>
        <w:numPr>
          <w:ilvl w:val="0"/>
          <w:numId w:val="33"/>
        </w:numPr>
        <w:spacing w:line="260" w:lineRule="atLeast"/>
        <w:rPr>
          <w:rFonts w:cs="Arial"/>
          <w:sz w:val="20"/>
        </w:rPr>
      </w:pPr>
      <w:r w:rsidRPr="00993D07">
        <w:rPr>
          <w:rFonts w:cs="Arial"/>
          <w:sz w:val="20"/>
        </w:rPr>
        <w:t xml:space="preserve">NMBA adjustment.  </w:t>
      </w:r>
      <w:r w:rsidR="002C45A1" w:rsidRPr="00993D07">
        <w:rPr>
          <w:rFonts w:cs="Arial"/>
          <w:sz w:val="20"/>
        </w:rPr>
        <w:t xml:space="preserve">Refer Section 6.1.1.  The </w:t>
      </w:r>
      <w:r w:rsidR="002C45A1" w:rsidRPr="00993D07">
        <w:rPr>
          <w:rFonts w:cs="Arial"/>
          <w:sz w:val="20"/>
          <w:u w:val="single"/>
        </w:rPr>
        <w:t>NMBA registration period</w:t>
      </w:r>
      <w:r w:rsidR="002C45A1" w:rsidRPr="00993D07">
        <w:rPr>
          <w:rFonts w:cs="Arial"/>
          <w:sz w:val="20"/>
        </w:rPr>
        <w:t xml:space="preserve"> was not captured in the base data.  Due to the size and the materiality of the renewal period for NMBA, the data from the survey period </w:t>
      </w:r>
      <w:r w:rsidR="00AE0E20">
        <w:rPr>
          <w:rFonts w:cs="Arial"/>
          <w:sz w:val="20"/>
        </w:rPr>
        <w:t>have</w:t>
      </w:r>
      <w:r w:rsidR="00AE0E20" w:rsidRPr="00993D07">
        <w:rPr>
          <w:rFonts w:cs="Arial"/>
          <w:sz w:val="20"/>
        </w:rPr>
        <w:t xml:space="preserve"> </w:t>
      </w:r>
      <w:r w:rsidR="002C45A1" w:rsidRPr="00993D07">
        <w:rPr>
          <w:rFonts w:cs="Arial"/>
          <w:sz w:val="20"/>
        </w:rPr>
        <w:t xml:space="preserve">been adjusted to reflect the impact on the data that </w:t>
      </w:r>
      <w:r w:rsidR="009B2D31" w:rsidRPr="00993D07">
        <w:rPr>
          <w:rFonts w:cs="Arial"/>
          <w:sz w:val="20"/>
        </w:rPr>
        <w:t>would likely to</w:t>
      </w:r>
      <w:r w:rsidR="002C45A1" w:rsidRPr="00993D07">
        <w:rPr>
          <w:rFonts w:cs="Arial"/>
          <w:sz w:val="20"/>
        </w:rPr>
        <w:t xml:space="preserve"> have been noted if the study occurred during the NMBA renewal period.</w:t>
      </w:r>
    </w:p>
    <w:p w:rsidR="002C45A1" w:rsidRPr="00993D07" w:rsidRDefault="002C45A1" w:rsidP="002C45A1">
      <w:pPr>
        <w:pStyle w:val="ListParagraph"/>
        <w:rPr>
          <w:rFonts w:cs="Arial"/>
        </w:rPr>
      </w:pPr>
    </w:p>
    <w:p w:rsidR="002C45A1" w:rsidRPr="00993D07" w:rsidRDefault="002C45A1" w:rsidP="002C45A1">
      <w:pPr>
        <w:pStyle w:val="DefaultText"/>
        <w:spacing w:line="260" w:lineRule="atLeast"/>
        <w:ind w:left="720"/>
        <w:rPr>
          <w:rFonts w:cs="Arial"/>
          <w:sz w:val="20"/>
        </w:rPr>
      </w:pPr>
      <w:r w:rsidRPr="00993D07">
        <w:rPr>
          <w:rFonts w:cs="Arial"/>
          <w:sz w:val="20"/>
        </w:rPr>
        <w:t xml:space="preserve">In the absence of any suitable supporting data, </w:t>
      </w:r>
      <w:r w:rsidR="00D67411" w:rsidRPr="00993D07">
        <w:rPr>
          <w:rFonts w:cs="Arial"/>
          <w:sz w:val="20"/>
        </w:rPr>
        <w:t>management made an adjustment as follows;</w:t>
      </w:r>
    </w:p>
    <w:p w:rsidR="00D67411" w:rsidRPr="00993D07" w:rsidRDefault="00D67411" w:rsidP="002C45A1">
      <w:pPr>
        <w:pStyle w:val="DefaultText"/>
        <w:spacing w:line="260" w:lineRule="atLeast"/>
        <w:ind w:left="720"/>
        <w:rPr>
          <w:rFonts w:cs="Arial"/>
          <w:sz w:val="20"/>
        </w:rPr>
      </w:pPr>
    </w:p>
    <w:p w:rsidR="00D67411" w:rsidRPr="00993D07" w:rsidRDefault="008C5C71" w:rsidP="002C45A1">
      <w:pPr>
        <w:pStyle w:val="DefaultText"/>
        <w:spacing w:line="260" w:lineRule="atLeast"/>
        <w:ind w:left="720"/>
        <w:rPr>
          <w:rFonts w:cs="Arial"/>
          <w:sz w:val="20"/>
        </w:rPr>
      </w:pPr>
      <w:r w:rsidRPr="00993D07">
        <w:rPr>
          <w:rFonts w:cs="Arial"/>
          <w:sz w:val="20"/>
        </w:rPr>
        <w:t>The total number of hours of the 13 Boards conducting renewal during the timesheet period was calculated.  The total number of hours deemed to be incurred in relation to the registration activity of the 13 Boards was then aligned with the number of registrants in NMBA and applied on a pro-rata basis.</w:t>
      </w:r>
    </w:p>
    <w:p w:rsidR="003017E5" w:rsidRPr="00993D07" w:rsidRDefault="003017E5" w:rsidP="002C45A1">
      <w:pPr>
        <w:pStyle w:val="DefaultText"/>
        <w:spacing w:line="260" w:lineRule="atLeast"/>
        <w:ind w:left="720"/>
        <w:rPr>
          <w:rFonts w:cs="Arial"/>
          <w:sz w:val="20"/>
        </w:rPr>
      </w:pPr>
    </w:p>
    <w:p w:rsidR="003017E5" w:rsidRPr="00993D07" w:rsidRDefault="003017E5" w:rsidP="002C45A1">
      <w:pPr>
        <w:pStyle w:val="DefaultText"/>
        <w:numPr>
          <w:ilvl w:val="0"/>
          <w:numId w:val="33"/>
        </w:numPr>
        <w:spacing w:line="260" w:lineRule="atLeast"/>
        <w:rPr>
          <w:rFonts w:cs="Arial"/>
          <w:sz w:val="20"/>
        </w:rPr>
      </w:pPr>
      <w:r w:rsidRPr="00993D07">
        <w:rPr>
          <w:rFonts w:cs="Arial"/>
          <w:sz w:val="20"/>
        </w:rPr>
        <w:t xml:space="preserve">Sample </w:t>
      </w:r>
      <w:r w:rsidR="009950D7" w:rsidRPr="00993D07">
        <w:rPr>
          <w:rFonts w:cs="Arial"/>
          <w:sz w:val="20"/>
        </w:rPr>
        <w:t>e</w:t>
      </w:r>
      <w:r w:rsidRPr="00993D07">
        <w:rPr>
          <w:rFonts w:cs="Arial"/>
          <w:sz w:val="20"/>
        </w:rPr>
        <w:t xml:space="preserve">xtrapolation – </w:t>
      </w:r>
      <w:r w:rsidR="009B2D31" w:rsidRPr="00993D07">
        <w:rPr>
          <w:rFonts w:cs="Arial"/>
          <w:sz w:val="20"/>
        </w:rPr>
        <w:t>N</w:t>
      </w:r>
      <w:r w:rsidR="00D03083" w:rsidRPr="00993D07">
        <w:rPr>
          <w:rFonts w:cs="Arial"/>
          <w:sz w:val="20"/>
        </w:rPr>
        <w:t>otif</w:t>
      </w:r>
      <w:r w:rsidR="004F0239" w:rsidRPr="00993D07">
        <w:rPr>
          <w:rFonts w:cs="Arial"/>
          <w:sz w:val="20"/>
        </w:rPr>
        <w:t>i</w:t>
      </w:r>
      <w:r w:rsidR="00D03083" w:rsidRPr="00993D07">
        <w:rPr>
          <w:rFonts w:cs="Arial"/>
          <w:sz w:val="20"/>
        </w:rPr>
        <w:t xml:space="preserve">cation and </w:t>
      </w:r>
      <w:r w:rsidR="009950D7" w:rsidRPr="00993D07">
        <w:rPr>
          <w:rFonts w:cs="Arial"/>
          <w:sz w:val="20"/>
        </w:rPr>
        <w:t>r</w:t>
      </w:r>
      <w:r w:rsidR="00D03083" w:rsidRPr="00993D07">
        <w:rPr>
          <w:rFonts w:cs="Arial"/>
          <w:sz w:val="20"/>
        </w:rPr>
        <w:t xml:space="preserve">egistration </w:t>
      </w:r>
      <w:r w:rsidR="009B2D31" w:rsidRPr="00993D07">
        <w:rPr>
          <w:rFonts w:cs="Arial"/>
          <w:sz w:val="20"/>
        </w:rPr>
        <w:t>timesheet data is expectedly, significant as a total percentage of all data.  However, given that notification and registration activities are heavily aligned to some Boards (eg. Medical Board has a higher level of notifications in compa</w:t>
      </w:r>
      <w:r w:rsidR="00064535" w:rsidRPr="00993D07">
        <w:rPr>
          <w:rFonts w:cs="Arial"/>
          <w:sz w:val="20"/>
        </w:rPr>
        <w:t>r</w:t>
      </w:r>
      <w:r w:rsidR="009B2D31" w:rsidRPr="00993D07">
        <w:rPr>
          <w:rFonts w:cs="Arial"/>
          <w:sz w:val="20"/>
        </w:rPr>
        <w:t>ison</w:t>
      </w:r>
      <w:r w:rsidR="00064535" w:rsidRPr="00993D07">
        <w:rPr>
          <w:rFonts w:cs="Arial"/>
          <w:sz w:val="20"/>
        </w:rPr>
        <w:t xml:space="preserve"> to its overall percentage of registrants</w:t>
      </w:r>
      <w:r w:rsidR="009F0296" w:rsidRPr="00993D07">
        <w:rPr>
          <w:rFonts w:cs="Arial"/>
          <w:sz w:val="20"/>
        </w:rPr>
        <w:t>)</w:t>
      </w:r>
      <w:r w:rsidR="00064535" w:rsidRPr="00993D07">
        <w:rPr>
          <w:rFonts w:cs="Arial"/>
          <w:sz w:val="20"/>
        </w:rPr>
        <w:t xml:space="preserve">.  We ensured that the notification and registration data was normalised to ensure that data </w:t>
      </w:r>
      <w:r w:rsidR="00AE0E20">
        <w:rPr>
          <w:rFonts w:cs="Arial"/>
          <w:sz w:val="20"/>
        </w:rPr>
        <w:t>were</w:t>
      </w:r>
      <w:r w:rsidR="00AE0E20" w:rsidRPr="00993D07">
        <w:rPr>
          <w:rFonts w:cs="Arial"/>
          <w:sz w:val="20"/>
        </w:rPr>
        <w:t xml:space="preserve"> </w:t>
      </w:r>
      <w:r w:rsidR="00D03083" w:rsidRPr="00993D07">
        <w:rPr>
          <w:rFonts w:cs="Arial"/>
          <w:sz w:val="20"/>
        </w:rPr>
        <w:t>not skewed towards one of the two activities</w:t>
      </w:r>
      <w:r w:rsidR="004F0239" w:rsidRPr="00993D07">
        <w:rPr>
          <w:rFonts w:cs="Arial"/>
          <w:sz w:val="20"/>
        </w:rPr>
        <w:t xml:space="preserve"> </w:t>
      </w:r>
      <w:r w:rsidR="00064535" w:rsidRPr="00993D07">
        <w:rPr>
          <w:rFonts w:cs="Arial"/>
          <w:sz w:val="20"/>
        </w:rPr>
        <w:t xml:space="preserve">as this would have caused </w:t>
      </w:r>
      <w:r w:rsidR="003A345A" w:rsidRPr="00993D07">
        <w:rPr>
          <w:rFonts w:cs="Arial"/>
          <w:sz w:val="20"/>
        </w:rPr>
        <w:t>potential bias to the results</w:t>
      </w:r>
      <w:r w:rsidR="00064535" w:rsidRPr="00993D07">
        <w:rPr>
          <w:rFonts w:cs="Arial"/>
          <w:sz w:val="20"/>
        </w:rPr>
        <w:t>.</w:t>
      </w:r>
    </w:p>
    <w:p w:rsidR="00C67207" w:rsidRPr="00993D07" w:rsidRDefault="00C67207" w:rsidP="00C67207">
      <w:pPr>
        <w:pStyle w:val="DefaultText"/>
        <w:spacing w:line="260" w:lineRule="atLeast"/>
        <w:ind w:left="720"/>
        <w:rPr>
          <w:rFonts w:cs="Arial"/>
          <w:sz w:val="20"/>
        </w:rPr>
      </w:pPr>
    </w:p>
    <w:p w:rsidR="00C67207" w:rsidRPr="00993D07" w:rsidRDefault="00C67207" w:rsidP="00C67207">
      <w:pPr>
        <w:pStyle w:val="DefaultText"/>
        <w:numPr>
          <w:ilvl w:val="0"/>
          <w:numId w:val="33"/>
        </w:numPr>
        <w:spacing w:line="260" w:lineRule="atLeast"/>
        <w:rPr>
          <w:rFonts w:cs="Arial"/>
          <w:sz w:val="20"/>
        </w:rPr>
      </w:pPr>
      <w:r w:rsidRPr="00993D07">
        <w:rPr>
          <w:rFonts w:cs="Arial"/>
          <w:sz w:val="20"/>
        </w:rPr>
        <w:t xml:space="preserve">Hourly </w:t>
      </w:r>
      <w:r w:rsidR="00AC3E69" w:rsidRPr="00993D07">
        <w:rPr>
          <w:rFonts w:cs="Arial"/>
          <w:sz w:val="20"/>
        </w:rPr>
        <w:t>p</w:t>
      </w:r>
      <w:r w:rsidRPr="00993D07">
        <w:rPr>
          <w:rFonts w:cs="Arial"/>
          <w:sz w:val="20"/>
        </w:rPr>
        <w:t xml:space="preserve">ay </w:t>
      </w:r>
      <w:r w:rsidR="00AC3E69" w:rsidRPr="00993D07">
        <w:rPr>
          <w:rFonts w:cs="Arial"/>
          <w:sz w:val="20"/>
        </w:rPr>
        <w:t>r</w:t>
      </w:r>
      <w:r w:rsidRPr="00993D07">
        <w:rPr>
          <w:rFonts w:cs="Arial"/>
          <w:sz w:val="20"/>
        </w:rPr>
        <w:t xml:space="preserve">ate </w:t>
      </w:r>
      <w:r w:rsidR="00AC3E69" w:rsidRPr="00993D07">
        <w:rPr>
          <w:rFonts w:cs="Arial"/>
          <w:sz w:val="20"/>
        </w:rPr>
        <w:t>o</w:t>
      </w:r>
      <w:r w:rsidRPr="00993D07">
        <w:rPr>
          <w:rFonts w:cs="Arial"/>
          <w:sz w:val="20"/>
        </w:rPr>
        <w:t>verlay – The first three columns above deal exclusively with the percentage of effort or hours identified for each Board.  Given that the pool to be allocated is based on actual expenditure, the rate attributable to the hours incurred per person has been overlayed</w:t>
      </w:r>
      <w:r w:rsidR="004F0239" w:rsidRPr="00993D07">
        <w:rPr>
          <w:rFonts w:cs="Arial"/>
          <w:sz w:val="20"/>
        </w:rPr>
        <w:t xml:space="preserve"> in this column</w:t>
      </w:r>
      <w:r w:rsidRPr="00993D07">
        <w:rPr>
          <w:rFonts w:cs="Arial"/>
          <w:sz w:val="20"/>
        </w:rPr>
        <w:t>.  This ensures that processes or roles that require senior levels of involvement are correctly captured in the costs, thus providing a higher level of fairness and accuracy.</w:t>
      </w:r>
    </w:p>
    <w:p w:rsidR="00C67207" w:rsidRPr="00993D07" w:rsidRDefault="00C67207" w:rsidP="00C67207">
      <w:pPr>
        <w:pStyle w:val="DefaultText"/>
        <w:spacing w:line="260" w:lineRule="atLeast"/>
        <w:rPr>
          <w:rFonts w:cs="Arial"/>
          <w:sz w:val="20"/>
        </w:rPr>
      </w:pPr>
      <w:r w:rsidRPr="00993D07">
        <w:rPr>
          <w:rFonts w:cs="Arial"/>
          <w:sz w:val="20"/>
        </w:rPr>
        <w:t xml:space="preserve"> </w:t>
      </w:r>
    </w:p>
    <w:p w:rsidR="00FF428D" w:rsidRPr="00A863FD" w:rsidRDefault="007E5637" w:rsidP="00064535">
      <w:pPr>
        <w:pStyle w:val="DefaultText"/>
        <w:numPr>
          <w:ilvl w:val="0"/>
          <w:numId w:val="33"/>
        </w:numPr>
        <w:spacing w:line="260" w:lineRule="atLeast"/>
        <w:rPr>
          <w:rFonts w:cs="Arial"/>
          <w:sz w:val="20"/>
        </w:rPr>
      </w:pPr>
      <w:r w:rsidRPr="007E5637">
        <w:rPr>
          <w:rFonts w:cs="Arial"/>
          <w:sz w:val="20"/>
        </w:rPr>
        <w:t>Staff</w:t>
      </w:r>
      <w:r w:rsidR="00416505">
        <w:rPr>
          <w:rFonts w:cs="Arial"/>
          <w:sz w:val="20"/>
        </w:rPr>
        <w:t xml:space="preserve"> identifed primarily</w:t>
      </w:r>
      <w:r w:rsidRPr="007E5637">
        <w:rPr>
          <w:rFonts w:cs="Arial"/>
          <w:sz w:val="20"/>
        </w:rPr>
        <w:t xml:space="preserve"> to a Specific Board</w:t>
      </w:r>
      <w:r w:rsidR="005F741A">
        <w:rPr>
          <w:rFonts w:cs="Arial"/>
          <w:sz w:val="20"/>
        </w:rPr>
        <w:t xml:space="preserve"> – Some costs are easily allocated to a Board on a </w:t>
      </w:r>
      <w:r w:rsidR="00416505">
        <w:rPr>
          <w:rFonts w:cs="Arial"/>
          <w:sz w:val="20"/>
        </w:rPr>
        <w:t>specific</w:t>
      </w:r>
      <w:r w:rsidR="005F741A">
        <w:rPr>
          <w:rFonts w:cs="Arial"/>
          <w:sz w:val="20"/>
        </w:rPr>
        <w:t xml:space="preserve"> cost basis.  </w:t>
      </w:r>
      <w:r w:rsidR="00416505">
        <w:rPr>
          <w:rFonts w:cs="Arial"/>
          <w:sz w:val="20"/>
        </w:rPr>
        <w:t>Specific</w:t>
      </w:r>
      <w:r w:rsidR="005F741A">
        <w:rPr>
          <w:rFonts w:cs="Arial"/>
          <w:sz w:val="20"/>
        </w:rPr>
        <w:t xml:space="preserve"> costs include staffing costs that are included in the AHPRA pool of allocated costs but can be identified by health profession</w:t>
      </w:r>
      <w:r w:rsidR="00416505">
        <w:rPr>
          <w:rFonts w:cs="Arial"/>
          <w:sz w:val="20"/>
        </w:rPr>
        <w:t xml:space="preserve"> and didi not complete timesheets thorugh the study period</w:t>
      </w:r>
      <w:r w:rsidR="005F741A">
        <w:rPr>
          <w:rFonts w:cs="Arial"/>
          <w:sz w:val="20"/>
        </w:rPr>
        <w:t>.  These include the Executive Officers for National Boards, their support staff and professional officers.  It has also been verified that these costs were not included in the sample survey data (or where they were, they have been removed from the sample data).</w:t>
      </w:r>
    </w:p>
    <w:p w:rsidR="00C67207" w:rsidRPr="00993D07" w:rsidRDefault="00C67207" w:rsidP="00C67207">
      <w:pPr>
        <w:pStyle w:val="DefaultText"/>
        <w:spacing w:line="260" w:lineRule="atLeast"/>
        <w:rPr>
          <w:rFonts w:cs="Arial"/>
          <w:sz w:val="20"/>
        </w:rPr>
      </w:pPr>
    </w:p>
    <w:p w:rsidR="00F9175F" w:rsidRPr="00993D07" w:rsidRDefault="00F9175F" w:rsidP="00843700">
      <w:pPr>
        <w:pStyle w:val="Table-body"/>
        <w:overflowPunct/>
        <w:autoSpaceDE/>
        <w:autoSpaceDN/>
        <w:adjustRightInd/>
        <w:spacing w:before="0" w:after="0" w:line="260" w:lineRule="atLeast"/>
        <w:jc w:val="both"/>
        <w:textAlignment w:val="auto"/>
        <w:rPr>
          <w:rFonts w:ascii="Arial" w:hAnsi="Arial" w:cs="Arial"/>
          <w:noProof/>
        </w:rPr>
      </w:pPr>
    </w:p>
    <w:p w:rsidR="0016582D" w:rsidRPr="00993D07" w:rsidRDefault="00773567" w:rsidP="00CC5F54">
      <w:pPr>
        <w:pStyle w:val="Heading1"/>
      </w:pPr>
      <w:bookmarkStart w:id="35" w:name="_Toc346891258"/>
      <w:r w:rsidRPr="00993D07">
        <w:t xml:space="preserve">Appendix </w:t>
      </w:r>
      <w:r w:rsidR="00DB6B30">
        <w:t>3</w:t>
      </w:r>
      <w:r w:rsidR="0016582D" w:rsidRPr="00993D07">
        <w:t xml:space="preserve"> – Audit Evidence</w:t>
      </w:r>
      <w:bookmarkEnd w:id="35"/>
    </w:p>
    <w:p w:rsidR="00200BD0" w:rsidRPr="00993D07" w:rsidRDefault="00200BD0" w:rsidP="00843700">
      <w:pPr>
        <w:pStyle w:val="Table-body"/>
        <w:overflowPunct/>
        <w:autoSpaceDE/>
        <w:autoSpaceDN/>
        <w:adjustRightInd/>
        <w:spacing w:before="0" w:after="0" w:line="260" w:lineRule="atLeast"/>
        <w:jc w:val="both"/>
        <w:textAlignment w:val="auto"/>
        <w:rPr>
          <w:rFonts w:ascii="Arial" w:hAnsi="Arial" w:cs="Arial"/>
        </w:rPr>
      </w:pPr>
      <w:r w:rsidRPr="00993D07">
        <w:rPr>
          <w:rFonts w:ascii="Arial" w:hAnsi="Arial" w:cs="Arial"/>
        </w:rPr>
        <w:t>The timesheet sample data derived by AHPRA was of a significant size.</w:t>
      </w:r>
    </w:p>
    <w:p w:rsidR="00200BD0" w:rsidRPr="00993D07" w:rsidRDefault="00200BD0" w:rsidP="00843700">
      <w:pPr>
        <w:pStyle w:val="Table-body"/>
        <w:overflowPunct/>
        <w:autoSpaceDE/>
        <w:autoSpaceDN/>
        <w:adjustRightInd/>
        <w:spacing w:before="0" w:after="0" w:line="260" w:lineRule="atLeast"/>
        <w:jc w:val="both"/>
        <w:textAlignment w:val="auto"/>
        <w:rPr>
          <w:rFonts w:ascii="Arial" w:hAnsi="Arial" w:cs="Arial"/>
        </w:rPr>
      </w:pPr>
    </w:p>
    <w:p w:rsidR="00200BD0" w:rsidRPr="00993D07" w:rsidRDefault="00200BD0" w:rsidP="00843700">
      <w:pPr>
        <w:pStyle w:val="Table-body"/>
        <w:overflowPunct/>
        <w:autoSpaceDE/>
        <w:autoSpaceDN/>
        <w:adjustRightInd/>
        <w:spacing w:before="0" w:after="0" w:line="260" w:lineRule="atLeast"/>
        <w:jc w:val="both"/>
        <w:textAlignment w:val="auto"/>
        <w:rPr>
          <w:rFonts w:ascii="Arial" w:hAnsi="Arial" w:cs="Arial"/>
        </w:rPr>
      </w:pPr>
      <w:r w:rsidRPr="00993D07">
        <w:rPr>
          <w:rFonts w:ascii="Arial" w:hAnsi="Arial" w:cs="Arial"/>
        </w:rPr>
        <w:t xml:space="preserve">As detailed in the report, total head count within the National Scheme was 712 (including full and part-time staff).  The survey sample was </w:t>
      </w:r>
      <w:r w:rsidR="00064535" w:rsidRPr="00993D07">
        <w:rPr>
          <w:rFonts w:ascii="Arial" w:hAnsi="Arial" w:cs="Arial"/>
        </w:rPr>
        <w:t>335</w:t>
      </w:r>
      <w:r w:rsidRPr="00993D07">
        <w:rPr>
          <w:rFonts w:ascii="Arial" w:hAnsi="Arial" w:cs="Arial"/>
        </w:rPr>
        <w:t xml:space="preserve"> (4</w:t>
      </w:r>
      <w:r w:rsidR="003A345A" w:rsidRPr="00993D07">
        <w:rPr>
          <w:rFonts w:ascii="Arial" w:hAnsi="Arial" w:cs="Arial"/>
        </w:rPr>
        <w:t>7</w:t>
      </w:r>
      <w:r w:rsidRPr="00993D07">
        <w:rPr>
          <w:rFonts w:ascii="Arial" w:hAnsi="Arial" w:cs="Arial"/>
        </w:rPr>
        <w:t xml:space="preserve">% of all staff).  We also note that a further </w:t>
      </w:r>
      <w:r w:rsidR="00064535" w:rsidRPr="00993D07">
        <w:rPr>
          <w:rFonts w:ascii="Arial" w:hAnsi="Arial" w:cs="Arial"/>
        </w:rPr>
        <w:t>80</w:t>
      </w:r>
      <w:r w:rsidRPr="00993D07">
        <w:rPr>
          <w:rFonts w:ascii="Arial" w:hAnsi="Arial" w:cs="Arial"/>
        </w:rPr>
        <w:t xml:space="preserve"> staff were not included in the sample but were costed directly to the pool (due to their Board specific roles) to ensure a greater level of accuracy in cost allocation.  </w:t>
      </w:r>
    </w:p>
    <w:p w:rsidR="00200BD0" w:rsidRPr="00993D07" w:rsidRDefault="00200BD0" w:rsidP="00843700">
      <w:pPr>
        <w:pStyle w:val="Table-body"/>
        <w:overflowPunct/>
        <w:autoSpaceDE/>
        <w:autoSpaceDN/>
        <w:adjustRightInd/>
        <w:spacing w:before="0" w:after="0" w:line="260" w:lineRule="atLeast"/>
        <w:jc w:val="both"/>
        <w:textAlignment w:val="auto"/>
        <w:rPr>
          <w:rFonts w:ascii="Arial" w:hAnsi="Arial" w:cs="Arial"/>
        </w:rPr>
      </w:pPr>
    </w:p>
    <w:p w:rsidR="00200BD0" w:rsidRPr="00993D07" w:rsidRDefault="00200BD0" w:rsidP="00843700">
      <w:pPr>
        <w:pStyle w:val="Table-body"/>
        <w:overflowPunct/>
        <w:autoSpaceDE/>
        <w:autoSpaceDN/>
        <w:adjustRightInd/>
        <w:spacing w:before="0" w:after="0" w:line="260" w:lineRule="atLeast"/>
        <w:jc w:val="both"/>
        <w:textAlignment w:val="auto"/>
        <w:rPr>
          <w:rFonts w:ascii="Arial" w:hAnsi="Arial" w:cs="Arial"/>
        </w:rPr>
      </w:pPr>
      <w:r w:rsidRPr="00993D07">
        <w:rPr>
          <w:rFonts w:ascii="Arial" w:hAnsi="Arial" w:cs="Arial"/>
        </w:rPr>
        <w:t>This resulted in a</w:t>
      </w:r>
      <w:r w:rsidR="00064535" w:rsidRPr="00993D07">
        <w:rPr>
          <w:rFonts w:ascii="Arial" w:hAnsi="Arial" w:cs="Arial"/>
        </w:rPr>
        <w:t xml:space="preserve"> combined staff population of 415</w:t>
      </w:r>
      <w:r w:rsidRPr="00993D07">
        <w:rPr>
          <w:rFonts w:ascii="Arial" w:hAnsi="Arial" w:cs="Arial"/>
        </w:rPr>
        <w:t xml:space="preserve"> being covered by the cost allocat</w:t>
      </w:r>
      <w:r w:rsidR="00064535" w:rsidRPr="00993D07">
        <w:rPr>
          <w:rFonts w:ascii="Arial" w:hAnsi="Arial" w:cs="Arial"/>
        </w:rPr>
        <w:t>ion process.  This equates to 58</w:t>
      </w:r>
      <w:r w:rsidRPr="00993D07">
        <w:rPr>
          <w:rFonts w:ascii="Arial" w:hAnsi="Arial" w:cs="Arial"/>
        </w:rPr>
        <w:t>% of the National Scheme staff population.</w:t>
      </w:r>
    </w:p>
    <w:p w:rsidR="00200BD0" w:rsidRPr="00993D07" w:rsidRDefault="00200BD0" w:rsidP="00843700">
      <w:pPr>
        <w:pStyle w:val="Table-body"/>
        <w:overflowPunct/>
        <w:autoSpaceDE/>
        <w:autoSpaceDN/>
        <w:adjustRightInd/>
        <w:spacing w:before="0" w:after="0" w:line="260" w:lineRule="atLeast"/>
        <w:jc w:val="both"/>
        <w:textAlignment w:val="auto"/>
        <w:rPr>
          <w:rFonts w:ascii="Arial" w:hAnsi="Arial" w:cs="Arial"/>
        </w:rPr>
      </w:pPr>
    </w:p>
    <w:p w:rsidR="0016582D" w:rsidRPr="00993D07" w:rsidRDefault="0016582D" w:rsidP="00864057">
      <w:pPr>
        <w:pStyle w:val="Table-body"/>
        <w:overflowPunct/>
        <w:autoSpaceDE/>
        <w:autoSpaceDN/>
        <w:adjustRightInd/>
        <w:spacing w:before="0" w:after="0" w:line="260" w:lineRule="atLeast"/>
        <w:jc w:val="both"/>
        <w:textAlignment w:val="auto"/>
        <w:rPr>
          <w:rFonts w:ascii="Arial" w:hAnsi="Arial" w:cs="Arial"/>
        </w:rPr>
      </w:pPr>
      <w:r w:rsidRPr="00993D07">
        <w:rPr>
          <w:rFonts w:ascii="Arial" w:hAnsi="Arial" w:cs="Arial"/>
        </w:rPr>
        <w:t>To ensure that the information collated by management through the timesheet period could be relied up</w:t>
      </w:r>
      <w:r w:rsidR="00200BD0" w:rsidRPr="00993D07">
        <w:rPr>
          <w:rFonts w:ascii="Arial" w:hAnsi="Arial" w:cs="Arial"/>
        </w:rPr>
        <w:t>on</w:t>
      </w:r>
      <w:r w:rsidRPr="00993D07">
        <w:rPr>
          <w:rFonts w:ascii="Arial" w:hAnsi="Arial" w:cs="Arial"/>
        </w:rPr>
        <w:t xml:space="preserve">, we conducted </w:t>
      </w:r>
      <w:r w:rsidR="00200BD0" w:rsidRPr="00993D07">
        <w:rPr>
          <w:rFonts w:ascii="Arial" w:hAnsi="Arial" w:cs="Arial"/>
        </w:rPr>
        <w:t xml:space="preserve">a number of </w:t>
      </w:r>
      <w:r w:rsidRPr="00993D07">
        <w:rPr>
          <w:rFonts w:ascii="Arial" w:hAnsi="Arial" w:cs="Arial"/>
        </w:rPr>
        <w:t>assurance activities on the data provided</w:t>
      </w:r>
      <w:r w:rsidR="00200BD0" w:rsidRPr="00993D07">
        <w:rPr>
          <w:rFonts w:ascii="Arial" w:hAnsi="Arial" w:cs="Arial"/>
        </w:rPr>
        <w:t>.  We focused on the completeness, validity and accuracy of timesheet data provided in the sample and also the aggregation of data by the AHPRA timesheet project team.  Our tests included</w:t>
      </w:r>
      <w:r w:rsidR="00864057" w:rsidRPr="00993D07">
        <w:rPr>
          <w:rFonts w:ascii="Arial" w:hAnsi="Arial" w:cs="Arial"/>
        </w:rPr>
        <w:t xml:space="preserve"> on a sample basis</w:t>
      </w:r>
      <w:r w:rsidR="00200BD0" w:rsidRPr="00993D07">
        <w:rPr>
          <w:rFonts w:ascii="Arial" w:hAnsi="Arial" w:cs="Arial"/>
        </w:rPr>
        <w:t>;</w:t>
      </w:r>
    </w:p>
    <w:p w:rsidR="00864057" w:rsidRPr="00993D07" w:rsidRDefault="00864057" w:rsidP="00864057">
      <w:pPr>
        <w:pStyle w:val="Table-body"/>
        <w:overflowPunct/>
        <w:autoSpaceDE/>
        <w:autoSpaceDN/>
        <w:adjustRightInd/>
        <w:spacing w:before="0" w:after="0" w:line="260" w:lineRule="atLeast"/>
        <w:jc w:val="both"/>
        <w:textAlignment w:val="auto"/>
        <w:rPr>
          <w:rFonts w:ascii="Arial" w:hAnsi="Arial" w:cs="Arial"/>
        </w:rPr>
      </w:pPr>
    </w:p>
    <w:p w:rsidR="00864057" w:rsidRPr="00993D07" w:rsidRDefault="00864057" w:rsidP="00864057">
      <w:pPr>
        <w:pStyle w:val="Table-body"/>
        <w:numPr>
          <w:ilvl w:val="0"/>
          <w:numId w:val="36"/>
        </w:numPr>
        <w:overflowPunct/>
        <w:autoSpaceDE/>
        <w:autoSpaceDN/>
        <w:adjustRightInd/>
        <w:spacing w:before="0" w:after="0" w:line="260" w:lineRule="atLeast"/>
        <w:jc w:val="both"/>
        <w:textAlignment w:val="auto"/>
        <w:rPr>
          <w:rFonts w:ascii="Arial" w:hAnsi="Arial" w:cs="Arial"/>
        </w:rPr>
      </w:pPr>
      <w:r w:rsidRPr="00993D07">
        <w:rPr>
          <w:rFonts w:ascii="Arial" w:hAnsi="Arial" w:cs="Arial"/>
          <w:color w:val="000000"/>
          <w:lang w:eastAsia="en-AU"/>
        </w:rPr>
        <w:t xml:space="preserve">An assessment of whether the sample data collated was in accordance with the sampling methodology stated in Section 4.1.  This was done by </w:t>
      </w:r>
      <w:r w:rsidR="00A71C6A">
        <w:rPr>
          <w:rFonts w:ascii="Arial" w:hAnsi="Arial" w:cs="Arial"/>
          <w:color w:val="000000"/>
          <w:lang w:eastAsia="en-AU"/>
        </w:rPr>
        <w:t>s</w:t>
      </w:r>
      <w:r w:rsidRPr="00993D07">
        <w:rPr>
          <w:rFonts w:ascii="Arial" w:hAnsi="Arial" w:cs="Arial"/>
          <w:color w:val="000000"/>
          <w:lang w:eastAsia="en-AU"/>
        </w:rPr>
        <w:t>tate/</w:t>
      </w:r>
      <w:r w:rsidR="00A71C6A">
        <w:rPr>
          <w:rFonts w:ascii="Arial" w:hAnsi="Arial" w:cs="Arial"/>
          <w:color w:val="000000"/>
          <w:lang w:eastAsia="en-AU"/>
        </w:rPr>
        <w:t>t</w:t>
      </w:r>
      <w:r w:rsidRPr="00993D07">
        <w:rPr>
          <w:rFonts w:ascii="Arial" w:hAnsi="Arial" w:cs="Arial"/>
          <w:color w:val="000000"/>
          <w:lang w:eastAsia="en-AU"/>
        </w:rPr>
        <w:t>erritory and by function.</w:t>
      </w:r>
    </w:p>
    <w:p w:rsidR="00864057" w:rsidRPr="00993D07" w:rsidRDefault="00864057" w:rsidP="00864057">
      <w:pPr>
        <w:pStyle w:val="Table-body"/>
        <w:numPr>
          <w:ilvl w:val="0"/>
          <w:numId w:val="36"/>
        </w:numPr>
        <w:overflowPunct/>
        <w:autoSpaceDE/>
        <w:autoSpaceDN/>
        <w:adjustRightInd/>
        <w:spacing w:before="0" w:after="0" w:line="260" w:lineRule="atLeast"/>
        <w:jc w:val="both"/>
        <w:textAlignment w:val="auto"/>
        <w:rPr>
          <w:rFonts w:ascii="Arial" w:hAnsi="Arial" w:cs="Arial"/>
        </w:rPr>
      </w:pPr>
      <w:r w:rsidRPr="00993D07">
        <w:rPr>
          <w:rFonts w:ascii="Arial" w:hAnsi="Arial" w:cs="Arial"/>
          <w:color w:val="000000"/>
          <w:lang w:eastAsia="en-AU"/>
        </w:rPr>
        <w:t>Determine if any cost centres not included in the sampling methodology had been allocated time by staff.</w:t>
      </w:r>
    </w:p>
    <w:p w:rsidR="00864057" w:rsidRPr="00993D07" w:rsidRDefault="00864057" w:rsidP="00864057">
      <w:pPr>
        <w:pStyle w:val="Table-body"/>
        <w:numPr>
          <w:ilvl w:val="0"/>
          <w:numId w:val="36"/>
        </w:numPr>
        <w:overflowPunct/>
        <w:autoSpaceDE/>
        <w:autoSpaceDN/>
        <w:adjustRightInd/>
        <w:spacing w:before="0" w:after="0" w:line="260" w:lineRule="atLeast"/>
        <w:jc w:val="both"/>
        <w:textAlignment w:val="auto"/>
        <w:rPr>
          <w:rFonts w:ascii="Arial" w:hAnsi="Arial" w:cs="Arial"/>
        </w:rPr>
      </w:pPr>
      <w:r w:rsidRPr="00993D07">
        <w:rPr>
          <w:rFonts w:ascii="Arial" w:hAnsi="Arial" w:cs="Arial"/>
          <w:color w:val="000000"/>
          <w:lang w:eastAsia="en-AU"/>
        </w:rPr>
        <w:t>Verification that aggregation and analysis of data by management was based on the raw sample data provided in total.</w:t>
      </w:r>
    </w:p>
    <w:p w:rsidR="00864057" w:rsidRPr="00993D07" w:rsidRDefault="00864057" w:rsidP="00864057">
      <w:pPr>
        <w:pStyle w:val="Table-body"/>
        <w:numPr>
          <w:ilvl w:val="0"/>
          <w:numId w:val="36"/>
        </w:numPr>
        <w:overflowPunct/>
        <w:autoSpaceDE/>
        <w:autoSpaceDN/>
        <w:adjustRightInd/>
        <w:spacing w:before="0" w:after="0" w:line="260" w:lineRule="atLeast"/>
        <w:jc w:val="both"/>
        <w:textAlignment w:val="auto"/>
        <w:rPr>
          <w:rFonts w:ascii="Arial" w:hAnsi="Arial" w:cs="Arial"/>
        </w:rPr>
      </w:pPr>
      <w:r w:rsidRPr="00993D07">
        <w:rPr>
          <w:rFonts w:ascii="Arial" w:hAnsi="Arial" w:cs="Arial"/>
          <w:color w:val="000000"/>
          <w:lang w:eastAsia="en-AU"/>
        </w:rPr>
        <w:t>Match time recorded by staff (on a weekly basis) to payroll hours recorded to ensure completeness of time recorded.</w:t>
      </w:r>
    </w:p>
    <w:p w:rsidR="00200BD0" w:rsidRPr="00993D07" w:rsidRDefault="00200BD0" w:rsidP="00843700">
      <w:pPr>
        <w:pStyle w:val="Table-body"/>
        <w:overflowPunct/>
        <w:autoSpaceDE/>
        <w:autoSpaceDN/>
        <w:adjustRightInd/>
        <w:spacing w:before="0" w:after="0" w:line="260" w:lineRule="atLeast"/>
        <w:jc w:val="both"/>
        <w:textAlignment w:val="auto"/>
        <w:rPr>
          <w:rFonts w:ascii="Arial" w:hAnsi="Arial" w:cs="Arial"/>
        </w:rPr>
      </w:pPr>
    </w:p>
    <w:p w:rsidR="00200BD0" w:rsidRPr="00993D07" w:rsidRDefault="00864057" w:rsidP="00843700">
      <w:pPr>
        <w:pStyle w:val="Table-body"/>
        <w:overflowPunct/>
        <w:autoSpaceDE/>
        <w:autoSpaceDN/>
        <w:adjustRightInd/>
        <w:spacing w:before="0" w:after="0" w:line="260" w:lineRule="atLeast"/>
        <w:jc w:val="both"/>
        <w:textAlignment w:val="auto"/>
        <w:rPr>
          <w:rFonts w:ascii="Arial" w:hAnsi="Arial" w:cs="Arial"/>
        </w:rPr>
      </w:pPr>
      <w:r w:rsidRPr="00993D07">
        <w:rPr>
          <w:rFonts w:ascii="Arial" w:hAnsi="Arial" w:cs="Arial"/>
        </w:rPr>
        <w:t>During our testing we found a number of variations</w:t>
      </w:r>
      <w:r w:rsidR="007D59EB" w:rsidRPr="00993D07">
        <w:rPr>
          <w:rFonts w:ascii="Arial" w:hAnsi="Arial" w:cs="Arial"/>
        </w:rPr>
        <w:t xml:space="preserve"> and these were followed up by management and then assessed for materiality (impact) on the final allocation result.</w:t>
      </w:r>
    </w:p>
    <w:p w:rsidR="007D59EB" w:rsidRPr="00993D07" w:rsidRDefault="007D59EB" w:rsidP="00843700">
      <w:pPr>
        <w:pStyle w:val="Table-body"/>
        <w:overflowPunct/>
        <w:autoSpaceDE/>
        <w:autoSpaceDN/>
        <w:adjustRightInd/>
        <w:spacing w:before="0" w:after="0" w:line="260" w:lineRule="atLeast"/>
        <w:jc w:val="both"/>
        <w:textAlignment w:val="auto"/>
        <w:rPr>
          <w:rFonts w:ascii="Arial" w:hAnsi="Arial" w:cs="Arial"/>
        </w:rPr>
      </w:pPr>
    </w:p>
    <w:p w:rsidR="007D59EB" w:rsidRPr="00993D07" w:rsidRDefault="007D59EB" w:rsidP="00843700">
      <w:pPr>
        <w:pStyle w:val="Table-body"/>
        <w:overflowPunct/>
        <w:autoSpaceDE/>
        <w:autoSpaceDN/>
        <w:adjustRightInd/>
        <w:spacing w:before="0" w:after="0" w:line="260" w:lineRule="atLeast"/>
        <w:jc w:val="both"/>
        <w:textAlignment w:val="auto"/>
        <w:rPr>
          <w:rFonts w:ascii="Arial" w:hAnsi="Arial" w:cs="Arial"/>
        </w:rPr>
      </w:pPr>
      <w:r w:rsidRPr="00993D07">
        <w:rPr>
          <w:rFonts w:ascii="Arial" w:hAnsi="Arial" w:cs="Arial"/>
        </w:rPr>
        <w:t>We acknowledge that there are some impediments in the process that would contribute to a level of error.  These were known at the commencement of the project and are regarded as reasonable given the large sample size committed to by the project team.  They include the following observations;</w:t>
      </w:r>
    </w:p>
    <w:p w:rsidR="007D59EB" w:rsidRPr="00993D07" w:rsidRDefault="007D59EB" w:rsidP="00843700">
      <w:pPr>
        <w:pStyle w:val="Table-body"/>
        <w:overflowPunct/>
        <w:autoSpaceDE/>
        <w:autoSpaceDN/>
        <w:adjustRightInd/>
        <w:spacing w:before="0" w:after="0" w:line="260" w:lineRule="atLeast"/>
        <w:jc w:val="both"/>
        <w:textAlignment w:val="auto"/>
        <w:rPr>
          <w:rFonts w:ascii="Arial" w:hAnsi="Arial" w:cs="Arial"/>
        </w:rPr>
      </w:pPr>
    </w:p>
    <w:p w:rsidR="007D59EB" w:rsidRPr="00993D07" w:rsidRDefault="007D59EB" w:rsidP="007D59EB">
      <w:pPr>
        <w:pStyle w:val="Table-body"/>
        <w:numPr>
          <w:ilvl w:val="0"/>
          <w:numId w:val="37"/>
        </w:numPr>
        <w:overflowPunct/>
        <w:autoSpaceDE/>
        <w:autoSpaceDN/>
        <w:adjustRightInd/>
        <w:spacing w:before="0" w:after="0" w:line="260" w:lineRule="atLeast"/>
        <w:jc w:val="both"/>
        <w:textAlignment w:val="auto"/>
        <w:rPr>
          <w:rFonts w:ascii="Arial" w:hAnsi="Arial" w:cs="Arial"/>
        </w:rPr>
      </w:pPr>
      <w:r w:rsidRPr="00993D07">
        <w:rPr>
          <w:rFonts w:ascii="Arial" w:hAnsi="Arial" w:cs="Arial"/>
        </w:rPr>
        <w:t>For many staff, this was the first time that they had been exposed to timesheet recording in their working li</w:t>
      </w:r>
      <w:r w:rsidR="00A71C6A">
        <w:rPr>
          <w:rFonts w:ascii="Arial" w:hAnsi="Arial" w:cs="Arial"/>
        </w:rPr>
        <w:t>ves</w:t>
      </w:r>
      <w:r w:rsidRPr="00993D07">
        <w:rPr>
          <w:rFonts w:ascii="Arial" w:hAnsi="Arial" w:cs="Arial"/>
        </w:rPr>
        <w:t>.  In the absence of formal management review of all timesheet inputs, some input errors are expected.</w:t>
      </w:r>
    </w:p>
    <w:p w:rsidR="007D59EB" w:rsidRPr="00993D07" w:rsidRDefault="007D59EB" w:rsidP="007D59EB">
      <w:pPr>
        <w:pStyle w:val="Table-body"/>
        <w:overflowPunct/>
        <w:autoSpaceDE/>
        <w:autoSpaceDN/>
        <w:adjustRightInd/>
        <w:spacing w:before="0" w:after="0" w:line="260" w:lineRule="atLeast"/>
        <w:ind w:left="720"/>
        <w:jc w:val="both"/>
        <w:textAlignment w:val="auto"/>
        <w:rPr>
          <w:rFonts w:ascii="Arial" w:hAnsi="Arial" w:cs="Arial"/>
        </w:rPr>
      </w:pPr>
    </w:p>
    <w:p w:rsidR="007D59EB" w:rsidRPr="00993D07" w:rsidRDefault="007D59EB" w:rsidP="007D59EB">
      <w:pPr>
        <w:pStyle w:val="Table-body"/>
        <w:numPr>
          <w:ilvl w:val="0"/>
          <w:numId w:val="37"/>
        </w:numPr>
        <w:overflowPunct/>
        <w:autoSpaceDE/>
        <w:autoSpaceDN/>
        <w:adjustRightInd/>
        <w:spacing w:before="0" w:after="0" w:line="260" w:lineRule="atLeast"/>
        <w:jc w:val="both"/>
        <w:textAlignment w:val="auto"/>
        <w:rPr>
          <w:rFonts w:ascii="Arial" w:hAnsi="Arial" w:cs="Arial"/>
        </w:rPr>
      </w:pPr>
      <w:r w:rsidRPr="00993D07">
        <w:rPr>
          <w:rFonts w:ascii="Arial" w:hAnsi="Arial" w:cs="Arial"/>
        </w:rPr>
        <w:t xml:space="preserve">Timesheet data </w:t>
      </w:r>
      <w:r w:rsidR="00A71C6A">
        <w:rPr>
          <w:rFonts w:ascii="Arial" w:hAnsi="Arial" w:cs="Arial"/>
        </w:rPr>
        <w:t>were</w:t>
      </w:r>
      <w:r w:rsidR="00A71C6A" w:rsidRPr="00993D07">
        <w:rPr>
          <w:rFonts w:ascii="Arial" w:hAnsi="Arial" w:cs="Arial"/>
        </w:rPr>
        <w:t xml:space="preserve"> </w:t>
      </w:r>
      <w:r w:rsidRPr="00993D07">
        <w:rPr>
          <w:rFonts w:ascii="Arial" w:hAnsi="Arial" w:cs="Arial"/>
        </w:rPr>
        <w:t xml:space="preserve">entered via </w:t>
      </w:r>
      <w:r w:rsidR="00950E63" w:rsidRPr="00993D07">
        <w:rPr>
          <w:rFonts w:ascii="Arial" w:hAnsi="Arial" w:cs="Arial"/>
        </w:rPr>
        <w:t>an input tool called Tenrox</w:t>
      </w:r>
      <w:r w:rsidRPr="00993D07">
        <w:rPr>
          <w:rFonts w:ascii="Arial" w:hAnsi="Arial" w:cs="Arial"/>
        </w:rPr>
        <w:t xml:space="preserve">. While this </w:t>
      </w:r>
      <w:r w:rsidR="00064535" w:rsidRPr="00993D07">
        <w:rPr>
          <w:rFonts w:ascii="Arial" w:hAnsi="Arial" w:cs="Arial"/>
        </w:rPr>
        <w:t>tool was</w:t>
      </w:r>
      <w:r w:rsidRPr="00993D07">
        <w:rPr>
          <w:rFonts w:ascii="Arial" w:hAnsi="Arial" w:cs="Arial"/>
        </w:rPr>
        <w:t xml:space="preserve"> a simple and efficient way to record significant levels of data, system checks to ensure completeness or accuracy</w:t>
      </w:r>
      <w:r w:rsidR="00950E63" w:rsidRPr="00993D07">
        <w:rPr>
          <w:rFonts w:ascii="Arial" w:hAnsi="Arial" w:cs="Arial"/>
        </w:rPr>
        <w:t xml:space="preserve"> were not robust.</w:t>
      </w:r>
    </w:p>
    <w:p w:rsidR="007D59EB" w:rsidRPr="00993D07" w:rsidRDefault="007D59EB" w:rsidP="007D59EB">
      <w:pPr>
        <w:pStyle w:val="ListParagraph"/>
        <w:rPr>
          <w:rFonts w:cs="Arial"/>
        </w:rPr>
      </w:pPr>
    </w:p>
    <w:p w:rsidR="007D59EB" w:rsidRPr="00993D07" w:rsidRDefault="007D59EB" w:rsidP="007D59EB">
      <w:pPr>
        <w:pStyle w:val="Table-body"/>
        <w:numPr>
          <w:ilvl w:val="0"/>
          <w:numId w:val="37"/>
        </w:numPr>
        <w:overflowPunct/>
        <w:autoSpaceDE/>
        <w:autoSpaceDN/>
        <w:adjustRightInd/>
        <w:spacing w:before="0" w:after="0" w:line="260" w:lineRule="atLeast"/>
        <w:jc w:val="both"/>
        <w:textAlignment w:val="auto"/>
        <w:rPr>
          <w:rFonts w:ascii="Arial" w:hAnsi="Arial" w:cs="Arial"/>
        </w:rPr>
      </w:pPr>
      <w:r w:rsidRPr="00993D07">
        <w:rPr>
          <w:rFonts w:ascii="Arial" w:hAnsi="Arial" w:cs="Arial"/>
        </w:rPr>
        <w:t xml:space="preserve">Some staff </w:t>
      </w:r>
      <w:r w:rsidR="000775CA" w:rsidRPr="00993D07">
        <w:rPr>
          <w:rFonts w:ascii="Arial" w:hAnsi="Arial" w:cs="Arial"/>
        </w:rPr>
        <w:t>had</w:t>
      </w:r>
      <w:r w:rsidRPr="00993D07">
        <w:rPr>
          <w:rFonts w:ascii="Arial" w:hAnsi="Arial" w:cs="Arial"/>
        </w:rPr>
        <w:t xml:space="preserve"> involve</w:t>
      </w:r>
      <w:r w:rsidR="000775CA" w:rsidRPr="00993D07">
        <w:rPr>
          <w:rFonts w:ascii="Arial" w:hAnsi="Arial" w:cs="Arial"/>
        </w:rPr>
        <w:t>ment</w:t>
      </w:r>
      <w:r w:rsidRPr="00993D07">
        <w:rPr>
          <w:rFonts w:ascii="Arial" w:hAnsi="Arial" w:cs="Arial"/>
        </w:rPr>
        <w:t xml:space="preserve"> in func</w:t>
      </w:r>
      <w:r w:rsidR="000775CA" w:rsidRPr="00993D07">
        <w:rPr>
          <w:rFonts w:ascii="Arial" w:hAnsi="Arial" w:cs="Arial"/>
        </w:rPr>
        <w:t xml:space="preserve">tions or had responsibilities across various Boards </w:t>
      </w:r>
      <w:r w:rsidRPr="00993D07">
        <w:rPr>
          <w:rFonts w:ascii="Arial" w:hAnsi="Arial" w:cs="Arial"/>
        </w:rPr>
        <w:t xml:space="preserve">and that the data entered by some staff may be inconsistent with the </w:t>
      </w:r>
      <w:r w:rsidR="000775CA" w:rsidRPr="00993D07">
        <w:rPr>
          <w:rFonts w:ascii="Arial" w:hAnsi="Arial" w:cs="Arial"/>
        </w:rPr>
        <w:t>determined</w:t>
      </w:r>
      <w:r w:rsidRPr="00993D07">
        <w:rPr>
          <w:rFonts w:ascii="Arial" w:hAnsi="Arial" w:cs="Arial"/>
        </w:rPr>
        <w:t xml:space="preserve"> sample methodology parameters.</w:t>
      </w:r>
    </w:p>
    <w:p w:rsidR="007D59EB" w:rsidRPr="00993D07" w:rsidRDefault="007D59EB" w:rsidP="007D59EB">
      <w:pPr>
        <w:pStyle w:val="ListParagraph"/>
        <w:rPr>
          <w:rFonts w:cs="Arial"/>
        </w:rPr>
      </w:pPr>
    </w:p>
    <w:p w:rsidR="00C64F21" w:rsidRPr="00993D07" w:rsidRDefault="00C64F21">
      <w:pPr>
        <w:spacing w:line="240" w:lineRule="auto"/>
        <w:rPr>
          <w:rFonts w:cs="Arial"/>
          <w:b/>
        </w:rPr>
      </w:pPr>
      <w:r w:rsidRPr="00993D07">
        <w:rPr>
          <w:rFonts w:cs="Arial"/>
          <w:b/>
        </w:rPr>
        <w:br w:type="page"/>
      </w:r>
    </w:p>
    <w:p w:rsidR="007D59EB" w:rsidRPr="00993D07" w:rsidRDefault="007D59EB" w:rsidP="007D59EB">
      <w:pPr>
        <w:pStyle w:val="Table-body"/>
        <w:overflowPunct/>
        <w:autoSpaceDE/>
        <w:autoSpaceDN/>
        <w:adjustRightInd/>
        <w:spacing w:before="0" w:after="0" w:line="260" w:lineRule="atLeast"/>
        <w:jc w:val="both"/>
        <w:textAlignment w:val="auto"/>
        <w:rPr>
          <w:rFonts w:ascii="Arial" w:hAnsi="Arial" w:cs="Arial"/>
          <w:b/>
        </w:rPr>
      </w:pPr>
      <w:r w:rsidRPr="00993D07">
        <w:rPr>
          <w:rFonts w:ascii="Arial" w:hAnsi="Arial" w:cs="Arial"/>
          <w:b/>
        </w:rPr>
        <w:t>Conclusion</w:t>
      </w:r>
    </w:p>
    <w:p w:rsidR="007D59EB" w:rsidRPr="00993D07" w:rsidRDefault="007D59EB" w:rsidP="007D59EB">
      <w:pPr>
        <w:pStyle w:val="Table-body"/>
        <w:overflowPunct/>
        <w:autoSpaceDE/>
        <w:autoSpaceDN/>
        <w:adjustRightInd/>
        <w:spacing w:before="0" w:after="0" w:line="260" w:lineRule="atLeast"/>
        <w:jc w:val="both"/>
        <w:textAlignment w:val="auto"/>
        <w:rPr>
          <w:rFonts w:ascii="Arial" w:hAnsi="Arial" w:cs="Arial"/>
        </w:rPr>
      </w:pPr>
    </w:p>
    <w:p w:rsidR="00AC4C17" w:rsidRPr="00993D07" w:rsidRDefault="007D59EB" w:rsidP="007D59EB">
      <w:pPr>
        <w:pStyle w:val="Table-body"/>
        <w:overflowPunct/>
        <w:autoSpaceDE/>
        <w:autoSpaceDN/>
        <w:adjustRightInd/>
        <w:spacing w:before="0" w:after="0" w:line="260" w:lineRule="atLeast"/>
        <w:jc w:val="both"/>
        <w:textAlignment w:val="auto"/>
        <w:rPr>
          <w:rFonts w:ascii="Arial" w:hAnsi="Arial" w:cs="Arial"/>
        </w:rPr>
      </w:pPr>
      <w:r w:rsidRPr="00993D07">
        <w:rPr>
          <w:rFonts w:ascii="Arial" w:hAnsi="Arial" w:cs="Arial"/>
        </w:rPr>
        <w:t xml:space="preserve">The sample data incorporates a level of error.  However this error was not unexpected.  Management have </w:t>
      </w:r>
      <w:r w:rsidR="00AC4C17" w:rsidRPr="00993D07">
        <w:rPr>
          <w:rFonts w:ascii="Arial" w:hAnsi="Arial" w:cs="Arial"/>
        </w:rPr>
        <w:t>provided suitable responses to deviations noted</w:t>
      </w:r>
      <w:r w:rsidR="00947E83" w:rsidRPr="00993D07">
        <w:rPr>
          <w:rFonts w:ascii="Arial" w:hAnsi="Arial" w:cs="Arial"/>
        </w:rPr>
        <w:t xml:space="preserve"> and corrected outliers where possible to enhance the accuracy of the final data.</w:t>
      </w:r>
    </w:p>
    <w:p w:rsidR="00947E83" w:rsidRPr="00993D07" w:rsidRDefault="00947E83" w:rsidP="007D59EB">
      <w:pPr>
        <w:pStyle w:val="Table-body"/>
        <w:overflowPunct/>
        <w:autoSpaceDE/>
        <w:autoSpaceDN/>
        <w:adjustRightInd/>
        <w:spacing w:before="0" w:after="0" w:line="260" w:lineRule="atLeast"/>
        <w:jc w:val="both"/>
        <w:textAlignment w:val="auto"/>
        <w:rPr>
          <w:rFonts w:ascii="Arial" w:hAnsi="Arial" w:cs="Arial"/>
        </w:rPr>
      </w:pPr>
    </w:p>
    <w:p w:rsidR="00AC4C17" w:rsidRPr="00993D07" w:rsidRDefault="00AC4C17" w:rsidP="007D59EB">
      <w:pPr>
        <w:pStyle w:val="Table-body"/>
        <w:overflowPunct/>
        <w:autoSpaceDE/>
        <w:autoSpaceDN/>
        <w:adjustRightInd/>
        <w:spacing w:before="0" w:after="0" w:line="260" w:lineRule="atLeast"/>
        <w:jc w:val="both"/>
        <w:textAlignment w:val="auto"/>
        <w:rPr>
          <w:rFonts w:ascii="Arial" w:hAnsi="Arial" w:cs="Arial"/>
        </w:rPr>
      </w:pPr>
      <w:r w:rsidRPr="00993D07">
        <w:rPr>
          <w:rFonts w:ascii="Arial" w:hAnsi="Arial" w:cs="Arial"/>
        </w:rPr>
        <w:t>On the basis that the sample was obtained by a significant percentage of the staff popul</w:t>
      </w:r>
      <w:r w:rsidR="003A345A" w:rsidRPr="00993D07">
        <w:rPr>
          <w:rFonts w:ascii="Arial" w:hAnsi="Arial" w:cs="Arial"/>
        </w:rPr>
        <w:t>ation (47</w:t>
      </w:r>
      <w:r w:rsidRPr="00993D07">
        <w:rPr>
          <w:rFonts w:ascii="Arial" w:hAnsi="Arial" w:cs="Arial"/>
        </w:rPr>
        <w:t>%), this provides a greater level of confidence that errors noted in the testing would not have a material impact on the overall result and therefore, data can be relied upon for the purposes of cost allocation analysis.</w:t>
      </w:r>
    </w:p>
    <w:p w:rsidR="00AC4C17" w:rsidRPr="00993D07" w:rsidRDefault="00AC4C17" w:rsidP="007D59EB">
      <w:pPr>
        <w:pStyle w:val="Table-body"/>
        <w:overflowPunct/>
        <w:autoSpaceDE/>
        <w:autoSpaceDN/>
        <w:adjustRightInd/>
        <w:spacing w:before="0" w:after="0" w:line="260" w:lineRule="atLeast"/>
        <w:jc w:val="both"/>
        <w:textAlignment w:val="auto"/>
        <w:rPr>
          <w:rFonts w:ascii="Arial" w:hAnsi="Arial" w:cs="Arial"/>
        </w:rPr>
      </w:pPr>
    </w:p>
    <w:p w:rsidR="00AC4C17" w:rsidRPr="00993D07" w:rsidRDefault="00AC4C17" w:rsidP="007D59EB">
      <w:pPr>
        <w:pStyle w:val="Table-body"/>
        <w:overflowPunct/>
        <w:autoSpaceDE/>
        <w:autoSpaceDN/>
        <w:adjustRightInd/>
        <w:spacing w:before="0" w:after="0" w:line="260" w:lineRule="atLeast"/>
        <w:jc w:val="both"/>
        <w:textAlignment w:val="auto"/>
        <w:rPr>
          <w:rFonts w:ascii="Arial" w:hAnsi="Arial" w:cs="Arial"/>
        </w:rPr>
      </w:pPr>
      <w:r w:rsidRPr="00993D07">
        <w:rPr>
          <w:rFonts w:ascii="Arial" w:hAnsi="Arial" w:cs="Arial"/>
        </w:rPr>
        <w:t xml:space="preserve">When sample data </w:t>
      </w:r>
      <w:r w:rsidR="00A71C6A">
        <w:rPr>
          <w:rFonts w:ascii="Arial" w:hAnsi="Arial" w:cs="Arial"/>
        </w:rPr>
        <w:t>are</w:t>
      </w:r>
      <w:r w:rsidR="00A71C6A" w:rsidRPr="00993D07">
        <w:rPr>
          <w:rFonts w:ascii="Arial" w:hAnsi="Arial" w:cs="Arial"/>
        </w:rPr>
        <w:t xml:space="preserve"> </w:t>
      </w:r>
      <w:r w:rsidRPr="00993D07">
        <w:rPr>
          <w:rFonts w:ascii="Arial" w:hAnsi="Arial" w:cs="Arial"/>
        </w:rPr>
        <w:t>combined with a direct cost allocation overlay, accuracy is further enhanced.</w:t>
      </w:r>
    </w:p>
    <w:p w:rsidR="00AC4C17" w:rsidRPr="00993D07" w:rsidRDefault="00AC4C17" w:rsidP="007D59EB">
      <w:pPr>
        <w:pStyle w:val="Table-body"/>
        <w:overflowPunct/>
        <w:autoSpaceDE/>
        <w:autoSpaceDN/>
        <w:adjustRightInd/>
        <w:spacing w:before="0" w:after="0" w:line="260" w:lineRule="atLeast"/>
        <w:jc w:val="both"/>
        <w:textAlignment w:val="auto"/>
        <w:rPr>
          <w:rFonts w:ascii="Arial" w:hAnsi="Arial" w:cs="Arial"/>
        </w:rPr>
      </w:pPr>
    </w:p>
    <w:p w:rsidR="00AC4C17" w:rsidRPr="00993D07" w:rsidRDefault="00AC4C17" w:rsidP="007D59EB">
      <w:pPr>
        <w:pStyle w:val="Table-body"/>
        <w:overflowPunct/>
        <w:autoSpaceDE/>
        <w:autoSpaceDN/>
        <w:adjustRightInd/>
        <w:spacing w:before="0" w:after="0" w:line="260" w:lineRule="atLeast"/>
        <w:jc w:val="both"/>
        <w:textAlignment w:val="auto"/>
        <w:rPr>
          <w:rFonts w:ascii="Arial" w:hAnsi="Arial" w:cs="Arial"/>
        </w:rPr>
      </w:pPr>
      <w:r w:rsidRPr="00993D07">
        <w:rPr>
          <w:rFonts w:ascii="Arial" w:hAnsi="Arial" w:cs="Arial"/>
        </w:rPr>
        <w:t xml:space="preserve">Given that the proposed cost allocation percentage (see Section 2.5) is based on sample data and incorporates a number of other assumptions, we have provided a deviation range of +/- 5% of the proposed cost allocation percentage for management and Board consideration. </w:t>
      </w:r>
    </w:p>
    <w:p w:rsidR="007D59EB" w:rsidRPr="00993D07" w:rsidRDefault="007D59EB" w:rsidP="00843700">
      <w:pPr>
        <w:pStyle w:val="Table-body"/>
        <w:overflowPunct/>
        <w:autoSpaceDE/>
        <w:autoSpaceDN/>
        <w:adjustRightInd/>
        <w:spacing w:before="0" w:after="0" w:line="260" w:lineRule="atLeast"/>
        <w:jc w:val="both"/>
        <w:textAlignment w:val="auto"/>
        <w:rPr>
          <w:rFonts w:ascii="Arial" w:hAnsi="Arial" w:cs="Arial"/>
        </w:rPr>
      </w:pPr>
    </w:p>
    <w:p w:rsidR="007D59EB" w:rsidRPr="00993D07" w:rsidRDefault="007D59EB" w:rsidP="00843700">
      <w:pPr>
        <w:pStyle w:val="Table-body"/>
        <w:overflowPunct/>
        <w:autoSpaceDE/>
        <w:autoSpaceDN/>
        <w:adjustRightInd/>
        <w:spacing w:before="0" w:after="0" w:line="260" w:lineRule="atLeast"/>
        <w:jc w:val="both"/>
        <w:textAlignment w:val="auto"/>
        <w:rPr>
          <w:rFonts w:ascii="Arial" w:hAnsi="Arial" w:cs="Arial"/>
        </w:rPr>
      </w:pPr>
    </w:p>
    <w:p w:rsidR="0016582D" w:rsidRPr="00993D07" w:rsidRDefault="0016582D" w:rsidP="00843700">
      <w:pPr>
        <w:pStyle w:val="Table-body"/>
        <w:overflowPunct/>
        <w:autoSpaceDE/>
        <w:autoSpaceDN/>
        <w:adjustRightInd/>
        <w:spacing w:before="0" w:after="0" w:line="260" w:lineRule="atLeast"/>
        <w:jc w:val="both"/>
        <w:textAlignment w:val="auto"/>
        <w:rPr>
          <w:rFonts w:ascii="Arial" w:hAnsi="Arial" w:cs="Arial"/>
          <w:szCs w:val="22"/>
        </w:rPr>
      </w:pPr>
    </w:p>
    <w:p w:rsidR="00C64F21" w:rsidRPr="00993D07" w:rsidRDefault="00C64F21" w:rsidP="00C64F21">
      <w:pPr>
        <w:pStyle w:val="Heading1"/>
      </w:pPr>
      <w:bookmarkStart w:id="36" w:name="_Toc346891259"/>
      <w:r w:rsidRPr="00993D07">
        <w:t>Limitations</w:t>
      </w:r>
      <w:bookmarkEnd w:id="36"/>
    </w:p>
    <w:p w:rsidR="00C64F21" w:rsidRPr="00993D07" w:rsidRDefault="00C64F21" w:rsidP="00C64F21">
      <w:pPr>
        <w:pStyle w:val="Table-body"/>
        <w:spacing w:line="260" w:lineRule="atLeast"/>
        <w:jc w:val="both"/>
        <w:rPr>
          <w:rFonts w:ascii="Arial" w:hAnsi="Arial" w:cs="Arial"/>
        </w:rPr>
      </w:pPr>
      <w:r w:rsidRPr="00993D07">
        <w:rPr>
          <w:rFonts w:ascii="Arial" w:hAnsi="Arial" w:cs="Arial"/>
        </w:rPr>
        <w:t>Th</w:t>
      </w:r>
      <w:r w:rsidR="00505C50" w:rsidRPr="00993D07">
        <w:rPr>
          <w:rFonts w:ascii="Arial" w:hAnsi="Arial" w:cs="Arial"/>
        </w:rPr>
        <w:t>is</w:t>
      </w:r>
      <w:r w:rsidRPr="00993D07">
        <w:rPr>
          <w:rFonts w:ascii="Arial" w:hAnsi="Arial" w:cs="Arial"/>
        </w:rPr>
        <w:t xml:space="preserve"> </w:t>
      </w:r>
      <w:r w:rsidR="00505C50" w:rsidRPr="00993D07">
        <w:rPr>
          <w:rFonts w:ascii="Arial" w:hAnsi="Arial" w:cs="Arial"/>
        </w:rPr>
        <w:t xml:space="preserve">agreed upon procedures </w:t>
      </w:r>
      <w:r w:rsidRPr="00993D07">
        <w:rPr>
          <w:rFonts w:ascii="Arial" w:hAnsi="Arial" w:cs="Arial"/>
        </w:rPr>
        <w:t xml:space="preserve">report has been prepared exclusively for AHPRA and is not to be used by any other party for any purpose nor should any other party seek to rely on the opinions, advice or any information contained within this report.  </w:t>
      </w:r>
    </w:p>
    <w:p w:rsidR="00C64F21" w:rsidRPr="00993D07" w:rsidRDefault="00C64F21" w:rsidP="00C64F21">
      <w:pPr>
        <w:pStyle w:val="Table-body"/>
        <w:spacing w:line="260" w:lineRule="atLeast"/>
        <w:jc w:val="both"/>
        <w:rPr>
          <w:rFonts w:ascii="Arial" w:hAnsi="Arial" w:cs="Arial"/>
        </w:rPr>
      </w:pPr>
      <w:r w:rsidRPr="00993D07">
        <w:rPr>
          <w:rFonts w:ascii="Arial" w:hAnsi="Arial" w:cs="Arial"/>
        </w:rPr>
        <w:t>Moore Stephens disclaims all liability to any party other than AHPRA in respect of or in consequence of anything done, or omitted to be done, by any party in reliance, whether whole or partial, upon any information contained in this report.  Any party, other than AHPRA, who chooses to rely in any way on the contents of this report, does so at their own risk.</w:t>
      </w:r>
    </w:p>
    <w:p w:rsidR="0016582D" w:rsidRPr="00993D07" w:rsidRDefault="00C64F21" w:rsidP="00C64F21">
      <w:pPr>
        <w:pStyle w:val="Table-body"/>
        <w:overflowPunct/>
        <w:autoSpaceDE/>
        <w:autoSpaceDN/>
        <w:adjustRightInd/>
        <w:spacing w:before="0" w:after="0" w:line="260" w:lineRule="atLeast"/>
        <w:jc w:val="both"/>
        <w:textAlignment w:val="auto"/>
        <w:rPr>
          <w:rFonts w:ascii="Arial" w:hAnsi="Arial" w:cs="Arial"/>
        </w:rPr>
      </w:pPr>
      <w:r w:rsidRPr="00993D07">
        <w:rPr>
          <w:rFonts w:ascii="Arial" w:hAnsi="Arial" w:cs="Arial"/>
        </w:rPr>
        <w:t xml:space="preserve">The information in this report and in any related oral presentation made by Moore Stephens is confidential between Moore Stephens and </w:t>
      </w:r>
      <w:r w:rsidR="00505C50" w:rsidRPr="00993D07">
        <w:rPr>
          <w:rFonts w:ascii="Arial" w:hAnsi="Arial" w:cs="Arial"/>
        </w:rPr>
        <w:t>AHPRA</w:t>
      </w:r>
      <w:r w:rsidRPr="00993D07">
        <w:rPr>
          <w:rFonts w:ascii="Arial" w:hAnsi="Arial" w:cs="Arial"/>
        </w:rPr>
        <w:t xml:space="preserve"> and should not be disclosed, used or duplicated in whole or in part for any purpose except with the prior knowledge of Moore Stephens.</w:t>
      </w:r>
    </w:p>
    <w:p w:rsidR="0016582D" w:rsidRPr="00993D07" w:rsidRDefault="0016582D" w:rsidP="00C64F21">
      <w:pPr>
        <w:pStyle w:val="Table-body"/>
        <w:overflowPunct/>
        <w:autoSpaceDE/>
        <w:autoSpaceDN/>
        <w:adjustRightInd/>
        <w:spacing w:before="0" w:after="0" w:line="260" w:lineRule="atLeast"/>
        <w:jc w:val="both"/>
        <w:textAlignment w:val="auto"/>
        <w:rPr>
          <w:rFonts w:ascii="Arial" w:hAnsi="Arial" w:cs="Arial"/>
        </w:rPr>
      </w:pPr>
    </w:p>
    <w:sectPr w:rsidR="0016582D" w:rsidRPr="00993D07" w:rsidSect="00886D18">
      <w:headerReference w:type="default" r:id="rId13"/>
      <w:pgSz w:w="11907" w:h="16840" w:code="9"/>
      <w:pgMar w:top="1774" w:right="1440" w:bottom="1440" w:left="1440" w:header="737" w:footer="737" w:gutter="454"/>
      <w:pgNumType w:start="1"/>
      <w:cols w:space="737"/>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C80" w:rsidRDefault="00374C80">
      <w:r>
        <w:separator/>
      </w:r>
    </w:p>
  </w:endnote>
  <w:endnote w:type="continuationSeparator" w:id="0">
    <w:p w:rsidR="00374C80" w:rsidRDefault="00374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KPMG Log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F4" w:rsidRDefault="0053226A">
    <w:pPr>
      <w:pStyle w:val="Footer"/>
      <w:framePr w:hSpace="181" w:wrap="around" w:vAnchor="text" w:hAnchor="text" w:xAlign="right" w:y="1"/>
    </w:pPr>
    <w:fldSimple w:instr=" FILENAME  \* MERGEFORMAT ">
      <w:r w:rsidR="003A2FF4">
        <w:rPr>
          <w:noProof/>
        </w:rPr>
        <w:t>Cost Allocation Phase 3 Report 2013_02_01 All Boards</w:t>
      </w:r>
    </w:fldSimple>
    <w:r w:rsidR="003A2FF4">
      <w:t xml:space="preserve"> - </w:t>
    </w:r>
    <w:fldSimple w:instr=" SAVEDATE  \* MERGEFORMAT ">
      <w:r w:rsidR="009A2E98">
        <w:rPr>
          <w:noProof/>
        </w:rPr>
        <w:t>16/07/2013 9:31:00 AM</w:t>
      </w:r>
    </w:fldSimple>
  </w:p>
  <w:p w:rsidR="003A2FF4" w:rsidRDefault="0053226A">
    <w:pPr>
      <w:pStyle w:val="Footer"/>
    </w:pPr>
    <w:r>
      <w:rPr>
        <w:rStyle w:val="PageNumber"/>
      </w:rPr>
      <w:fldChar w:fldCharType="begin"/>
    </w:r>
    <w:r w:rsidR="003A2FF4">
      <w:rPr>
        <w:rStyle w:val="PageNumber"/>
      </w:rPr>
      <w:instrText xml:space="preserve"> PAGE </w:instrText>
    </w:r>
    <w:r>
      <w:rPr>
        <w:rStyle w:val="PageNumber"/>
      </w:rPr>
      <w:fldChar w:fldCharType="separate"/>
    </w:r>
    <w:r w:rsidR="003A2FF4">
      <w:rPr>
        <w:rStyle w:val="PageNumber"/>
        <w:noProof/>
      </w:rPr>
      <w:t>32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F4" w:rsidRDefault="003A2FF4">
    <w:pPr>
      <w:pStyle w:val="Footer"/>
    </w:pPr>
  </w:p>
  <w:p w:rsidR="003A2FF4" w:rsidRDefault="003A2FF4">
    <w:pPr>
      <w:pStyle w:val="Footer"/>
    </w:pPr>
    <w:r>
      <w:tab/>
    </w:r>
    <w:r w:rsidR="0053226A">
      <w:rPr>
        <w:rStyle w:val="PageNumber"/>
      </w:rPr>
      <w:fldChar w:fldCharType="begin"/>
    </w:r>
    <w:r>
      <w:rPr>
        <w:rStyle w:val="PageNumber"/>
      </w:rPr>
      <w:instrText xml:space="preserve"> PAGE </w:instrText>
    </w:r>
    <w:r w:rsidR="0053226A">
      <w:rPr>
        <w:rStyle w:val="PageNumber"/>
      </w:rPr>
      <w:fldChar w:fldCharType="separate"/>
    </w:r>
    <w:r w:rsidR="009A2E98">
      <w:rPr>
        <w:rStyle w:val="PageNumber"/>
        <w:noProof/>
      </w:rPr>
      <w:t>i</w:t>
    </w:r>
    <w:r w:rsidR="0053226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C80" w:rsidRDefault="00374C80">
      <w:r>
        <w:separator/>
      </w:r>
    </w:p>
  </w:footnote>
  <w:footnote w:type="continuationSeparator" w:id="0">
    <w:p w:rsidR="00374C80" w:rsidRDefault="00374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F4" w:rsidRDefault="003A2FF4" w:rsidP="00B520A0">
    <w:pPr>
      <w:pStyle w:val="Header"/>
      <w:rPr>
        <w:sz w:val="40"/>
      </w:rPr>
    </w:pPr>
    <w:r>
      <w:rPr>
        <w:rFonts w:cs="Arial"/>
        <w:noProof/>
        <w:sz w:val="16"/>
        <w:szCs w:val="16"/>
        <w:lang w:val="en-US"/>
      </w:rPr>
      <w:drawing>
        <wp:anchor distT="0" distB="0" distL="114300" distR="114300" simplePos="0" relativeHeight="251656192" behindDoc="1" locked="1" layoutInCell="1" allowOverlap="1">
          <wp:simplePos x="0" y="0"/>
          <wp:positionH relativeFrom="column">
            <wp:posOffset>3689985</wp:posOffset>
          </wp:positionH>
          <wp:positionV relativeFrom="page">
            <wp:posOffset>645795</wp:posOffset>
          </wp:positionV>
          <wp:extent cx="2156460" cy="540385"/>
          <wp:effectExtent l="19050" t="0" r="0" b="0"/>
          <wp:wrapTight wrapText="bothSides">
            <wp:wrapPolygon edited="0">
              <wp:start x="-191" y="0"/>
              <wp:lineTo x="-191" y="20559"/>
              <wp:lineTo x="21562" y="20559"/>
              <wp:lineTo x="21562" y="0"/>
              <wp:lineTo x="-191" y="0"/>
            </wp:wrapPolygon>
          </wp:wrapTight>
          <wp:docPr id="1" name="Picture 1" descr="MS logo b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bk 18"/>
                  <pic:cNvPicPr>
                    <a:picLocks noChangeAspect="1" noChangeArrowheads="1"/>
                  </pic:cNvPicPr>
                </pic:nvPicPr>
                <pic:blipFill>
                  <a:blip r:embed="rId1"/>
                  <a:srcRect/>
                  <a:stretch>
                    <a:fillRect/>
                  </a:stretch>
                </pic:blipFill>
                <pic:spPr bwMode="auto">
                  <a:xfrm>
                    <a:off x="0" y="0"/>
                    <a:ext cx="2156460" cy="54038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F4" w:rsidRDefault="003A2FF4" w:rsidP="00AA3E31">
    <w:pPr>
      <w:pStyle w:val="Header"/>
      <w:tabs>
        <w:tab w:val="right" w:pos="7938"/>
      </w:tabs>
      <w:ind w:left="142"/>
      <w:jc w:val="left"/>
      <w:rPr>
        <w:rFonts w:ascii="KPMG Logo" w:hAnsi="KPMG Logo"/>
        <w:i w:val="0"/>
        <w:sz w:val="24"/>
      </w:rPr>
    </w:pPr>
    <w:r>
      <w:rPr>
        <w:rFonts w:ascii="KPMG Logo" w:hAnsi="KPMG Logo"/>
        <w:i w:val="0"/>
        <w:sz w:val="24"/>
      </w:rPr>
      <w:tab/>
    </w:r>
  </w:p>
  <w:p w:rsidR="003A2FF4" w:rsidRPr="00AA3E31" w:rsidRDefault="003A2FF4" w:rsidP="00B520A0">
    <w:pPr>
      <w:pStyle w:val="Header"/>
      <w:tabs>
        <w:tab w:val="right" w:pos="7938"/>
      </w:tabs>
      <w:ind w:left="-851"/>
      <w:rPr>
        <w:b/>
        <w:sz w:val="20"/>
      </w:rPr>
    </w:pPr>
    <w:r>
      <w:rPr>
        <w:rFonts w:cs="Arial"/>
        <w:noProof/>
        <w:sz w:val="16"/>
        <w:szCs w:val="16"/>
        <w:lang w:val="en-US"/>
      </w:rPr>
      <w:drawing>
        <wp:anchor distT="0" distB="0" distL="114300" distR="114300" simplePos="0" relativeHeight="251657216" behindDoc="1" locked="1" layoutInCell="1" allowOverlap="1">
          <wp:simplePos x="0" y="0"/>
          <wp:positionH relativeFrom="column">
            <wp:posOffset>3804285</wp:posOffset>
          </wp:positionH>
          <wp:positionV relativeFrom="page">
            <wp:posOffset>645795</wp:posOffset>
          </wp:positionV>
          <wp:extent cx="2156460" cy="540385"/>
          <wp:effectExtent l="19050" t="0" r="0" b="0"/>
          <wp:wrapTight wrapText="bothSides">
            <wp:wrapPolygon edited="0">
              <wp:start x="-191" y="0"/>
              <wp:lineTo x="-191" y="20559"/>
              <wp:lineTo x="21562" y="20559"/>
              <wp:lineTo x="21562" y="0"/>
              <wp:lineTo x="-191" y="0"/>
            </wp:wrapPolygon>
          </wp:wrapTight>
          <wp:docPr id="2" name="Picture 2" descr="MS logo b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 logo bk 18"/>
                  <pic:cNvPicPr>
                    <a:picLocks noChangeAspect="1" noChangeArrowheads="1"/>
                  </pic:cNvPicPr>
                </pic:nvPicPr>
                <pic:blipFill>
                  <a:blip r:embed="rId1"/>
                  <a:srcRect/>
                  <a:stretch>
                    <a:fillRect/>
                  </a:stretch>
                </pic:blipFill>
                <pic:spPr bwMode="auto">
                  <a:xfrm>
                    <a:off x="0" y="0"/>
                    <a:ext cx="2156460" cy="54038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F4" w:rsidRDefault="003A2FF4" w:rsidP="00AA3E31">
    <w:pPr>
      <w:pStyle w:val="Header"/>
      <w:tabs>
        <w:tab w:val="right" w:pos="7938"/>
      </w:tabs>
      <w:ind w:left="142"/>
      <w:jc w:val="left"/>
      <w:rPr>
        <w:rFonts w:ascii="KPMG Logo" w:hAnsi="KPMG Logo"/>
        <w:i w:val="0"/>
        <w:sz w:val="24"/>
      </w:rPr>
    </w:pPr>
    <w:r>
      <w:rPr>
        <w:rFonts w:ascii="KPMG Logo" w:hAnsi="KPMG Logo"/>
        <w:i w:val="0"/>
        <w:sz w:val="24"/>
      </w:rPr>
      <w:tab/>
    </w:r>
  </w:p>
  <w:p w:rsidR="003A2FF4" w:rsidRPr="00F02D60" w:rsidRDefault="003A2FF4" w:rsidP="00B520A0">
    <w:pPr>
      <w:pStyle w:val="Header"/>
      <w:tabs>
        <w:tab w:val="right" w:pos="7938"/>
      </w:tabs>
      <w:ind w:left="142"/>
      <w:jc w:val="left"/>
      <w:rPr>
        <w:sz w:val="16"/>
        <w:szCs w:val="16"/>
      </w:rPr>
    </w:pPr>
    <w:r w:rsidRPr="00F02D60">
      <w:rPr>
        <w:sz w:val="16"/>
        <w:szCs w:val="16"/>
      </w:rPr>
      <w:t>AHPRA –Cost Percenta</w:t>
    </w:r>
    <w:r>
      <w:rPr>
        <w:sz w:val="16"/>
        <w:szCs w:val="16"/>
      </w:rPr>
      <w:t>ge Allocation Methodology Review – Phase 3</w:t>
    </w:r>
  </w:p>
  <w:p w:rsidR="003A2FF4" w:rsidRPr="00F02D60" w:rsidRDefault="003A2FF4" w:rsidP="00886D18">
    <w:pPr>
      <w:pStyle w:val="Header"/>
      <w:tabs>
        <w:tab w:val="right" w:pos="7938"/>
      </w:tabs>
      <w:ind w:left="142"/>
      <w:jc w:val="left"/>
      <w:rPr>
        <w:sz w:val="16"/>
        <w:szCs w:val="16"/>
      </w:rPr>
    </w:pPr>
    <w:r>
      <w:rPr>
        <w:sz w:val="16"/>
        <w:szCs w:val="16"/>
      </w:rPr>
      <w:t>February</w:t>
    </w:r>
    <w:r w:rsidRPr="00F02D60">
      <w:rPr>
        <w:sz w:val="16"/>
        <w:szCs w:val="16"/>
      </w:rPr>
      <w:t xml:space="preserve"> 201</w:t>
    </w:r>
    <w:r>
      <w:rPr>
        <w:sz w:val="16"/>
        <w:szCs w:val="16"/>
      </w:rPr>
      <w:t>3</w:t>
    </w:r>
  </w:p>
  <w:p w:rsidR="003A2FF4" w:rsidRPr="00886D18" w:rsidRDefault="003A2FF4" w:rsidP="007F3452">
    <w:pPr>
      <w:pStyle w:val="Header"/>
      <w:tabs>
        <w:tab w:val="right" w:pos="7938"/>
      </w:tabs>
      <w:jc w:val="left"/>
      <w:rPr>
        <w:b/>
        <w:sz w:val="20"/>
      </w:rPr>
    </w:pPr>
    <w:r>
      <w:rPr>
        <w:noProof/>
        <w:sz w:val="16"/>
        <w:szCs w:val="16"/>
        <w:lang w:val="en-US"/>
      </w:rPr>
      <w:drawing>
        <wp:anchor distT="0" distB="0" distL="114300" distR="114300" simplePos="0" relativeHeight="251658240" behindDoc="1" locked="1" layoutInCell="1" allowOverlap="1">
          <wp:simplePos x="0" y="0"/>
          <wp:positionH relativeFrom="column">
            <wp:posOffset>3870960</wp:posOffset>
          </wp:positionH>
          <wp:positionV relativeFrom="page">
            <wp:posOffset>391160</wp:posOffset>
          </wp:positionV>
          <wp:extent cx="2156460" cy="540385"/>
          <wp:effectExtent l="19050" t="0" r="0" b="0"/>
          <wp:wrapTight wrapText="bothSides">
            <wp:wrapPolygon edited="0">
              <wp:start x="-191" y="0"/>
              <wp:lineTo x="-191" y="20559"/>
              <wp:lineTo x="21562" y="20559"/>
              <wp:lineTo x="21562" y="0"/>
              <wp:lineTo x="-191" y="0"/>
            </wp:wrapPolygon>
          </wp:wrapTight>
          <wp:docPr id="3" name="Picture 3" descr="MS logo b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 logo bk 18"/>
                  <pic:cNvPicPr>
                    <a:picLocks noChangeAspect="1" noChangeArrowheads="1"/>
                  </pic:cNvPicPr>
                </pic:nvPicPr>
                <pic:blipFill>
                  <a:blip r:embed="rId1"/>
                  <a:srcRect/>
                  <a:stretch>
                    <a:fillRect/>
                  </a:stretch>
                </pic:blipFill>
                <pic:spPr bwMode="auto">
                  <a:xfrm>
                    <a:off x="0" y="0"/>
                    <a:ext cx="2156460" cy="5403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478D258"/>
    <w:lvl w:ilvl="0">
      <w:start w:val="1"/>
      <w:numFmt w:val="decimal"/>
      <w:pStyle w:val="Heading1"/>
      <w:lvlText w:val="%1"/>
      <w:legacy w:legacy="1" w:legacySpace="142" w:legacyIndent="0"/>
      <w:lvlJc w:val="left"/>
      <w:rPr>
        <w:sz w:val="28"/>
        <w:szCs w:val="28"/>
      </w:rPr>
    </w:lvl>
    <w:lvl w:ilvl="1">
      <w:start w:val="1"/>
      <w:numFmt w:val="decimal"/>
      <w:pStyle w:val="Heading2"/>
      <w:lvlText w:val="%1.%2"/>
      <w:legacy w:legacy="1" w:legacySpace="142" w:legacyIndent="0"/>
      <w:lvlJc w:val="left"/>
    </w:lvl>
    <w:lvl w:ilvl="2">
      <w:start w:val="1"/>
      <w:numFmt w:val="decimal"/>
      <w:pStyle w:val="Heading3"/>
      <w:lvlText w:val="%1.%2.%3"/>
      <w:legacy w:legacy="1" w:legacySpace="142" w:legacyIndent="0"/>
      <w:lvlJc w:val="left"/>
    </w:lvl>
    <w:lvl w:ilvl="3">
      <w:start w:val="1"/>
      <w:numFmt w:val="decimal"/>
      <w:pStyle w:val="Heading4"/>
      <w:lvlText w:val="%1.%2.%3.%4"/>
      <w:legacy w:legacy="1" w:legacySpace="142" w:legacyIndent="0"/>
      <w:lvlJc w:val="left"/>
    </w:lvl>
    <w:lvl w:ilvl="4">
      <w:numFmt w:val="none"/>
      <w:pStyle w:val="Heading5"/>
      <w:suff w:val="nothing"/>
      <w:lvlText w:val=""/>
      <w:lvlJc w:val="left"/>
      <w:rPr>
        <w:rFonts w:ascii="Tms Rmn" w:hAnsi="Tms Rmn" w:hint="default"/>
        <w:b w:val="0"/>
        <w:i w:val="0"/>
        <w:strike w:val="0"/>
        <w:u w:val="none"/>
      </w:rPr>
    </w:lvl>
    <w:lvl w:ilvl="5">
      <w:numFmt w:val="none"/>
      <w:pStyle w:val="Heading6"/>
      <w:suff w:val="nothing"/>
      <w:lvlText w:val=""/>
      <w:lvlJc w:val="left"/>
      <w:rPr>
        <w:rFonts w:ascii="Tms Rmn" w:hAnsi="Tms Rmn" w:hint="default"/>
        <w:b w:val="0"/>
        <w:i w:val="0"/>
        <w:strike w:val="0"/>
        <w:u w:val="none"/>
      </w:rPr>
    </w:lvl>
    <w:lvl w:ilvl="6">
      <w:numFmt w:val="none"/>
      <w:pStyle w:val="Heading7"/>
      <w:suff w:val="nothing"/>
      <w:lvlText w:val=""/>
      <w:lvlJc w:val="left"/>
      <w:rPr>
        <w:rFonts w:ascii="Tms Rmn" w:hAnsi="Tms Rmn" w:hint="default"/>
        <w:b w:val="0"/>
        <w:i w:val="0"/>
        <w:strike w:val="0"/>
        <w:u w:val="none"/>
      </w:rPr>
    </w:lvl>
    <w:lvl w:ilvl="7">
      <w:numFmt w:val="none"/>
      <w:pStyle w:val="Heading8"/>
      <w:suff w:val="nothing"/>
      <w:lvlText w:val=""/>
      <w:lvlJc w:val="left"/>
      <w:rPr>
        <w:rFonts w:ascii="Tms Rmn" w:hAnsi="Tms Rmn" w:hint="default"/>
        <w:b w:val="0"/>
        <w:i w:val="0"/>
        <w:strike w:val="0"/>
        <w:u w:val="none"/>
      </w:rPr>
    </w:lvl>
    <w:lvl w:ilvl="8">
      <w:numFmt w:val="none"/>
      <w:pStyle w:val="Heading9"/>
      <w:suff w:val="nothing"/>
      <w:lvlText w:val=""/>
      <w:lvlJc w:val="left"/>
      <w:rPr>
        <w:rFonts w:ascii="Tms Rmn" w:hAnsi="Tms Rmn" w:hint="default"/>
        <w:b w:val="0"/>
        <w:i w:val="0"/>
        <w:strike w:val="0"/>
        <w:u w:val="none"/>
      </w:rPr>
    </w:lvl>
  </w:abstractNum>
  <w:abstractNum w:abstractNumId="1">
    <w:nsid w:val="057464F1"/>
    <w:multiLevelType w:val="hybridMultilevel"/>
    <w:tmpl w:val="3902813C"/>
    <w:lvl w:ilvl="0" w:tplc="67302684">
      <w:start w:val="1"/>
      <w:numFmt w:val="bullet"/>
      <w:pStyle w:val="Style1"/>
      <w:lvlText w:val=""/>
      <w:lvlJc w:val="left"/>
      <w:pPr>
        <w:tabs>
          <w:tab w:val="num" w:pos="1440"/>
        </w:tabs>
        <w:ind w:left="1440" w:hanging="360"/>
      </w:pPr>
      <w:rPr>
        <w:rFonts w:ascii="Wingdings" w:hAnsi="Wingdings" w:hint="default"/>
      </w:rPr>
    </w:lvl>
    <w:lvl w:ilvl="1" w:tplc="2EBC6E30">
      <w:start w:val="9"/>
      <w:numFmt w:val="bullet"/>
      <w:lvlText w:val=""/>
      <w:lvlJc w:val="left"/>
      <w:pPr>
        <w:tabs>
          <w:tab w:val="num" w:pos="2415"/>
        </w:tabs>
        <w:ind w:left="2415" w:hanging="615"/>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7515A8"/>
    <w:multiLevelType w:val="hybridMultilevel"/>
    <w:tmpl w:val="AE324E60"/>
    <w:lvl w:ilvl="0" w:tplc="0C090017">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05A407FA"/>
    <w:multiLevelType w:val="hybridMultilevel"/>
    <w:tmpl w:val="5314AEDE"/>
    <w:lvl w:ilvl="0" w:tplc="0E52B2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031BB5"/>
    <w:multiLevelType w:val="hybridMultilevel"/>
    <w:tmpl w:val="36745E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CC7BA4"/>
    <w:multiLevelType w:val="hybridMultilevel"/>
    <w:tmpl w:val="43BABD6E"/>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2B1279BE"/>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DE1C41"/>
    <w:multiLevelType w:val="hybridMultilevel"/>
    <w:tmpl w:val="C0366FA2"/>
    <w:lvl w:ilvl="0" w:tplc="73D42DC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E786256"/>
    <w:multiLevelType w:val="hybridMultilevel"/>
    <w:tmpl w:val="346A1C78"/>
    <w:lvl w:ilvl="0" w:tplc="0C090001">
      <w:start w:val="68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164BBC"/>
    <w:multiLevelType w:val="singleLevel"/>
    <w:tmpl w:val="7C3681D8"/>
    <w:lvl w:ilvl="0">
      <w:start w:val="1"/>
      <w:numFmt w:val="bullet"/>
      <w:pStyle w:val="ListBullet2"/>
      <w:lvlText w:val="-"/>
      <w:lvlJc w:val="left"/>
      <w:pPr>
        <w:tabs>
          <w:tab w:val="num" w:pos="700"/>
        </w:tabs>
        <w:ind w:left="680" w:hanging="340"/>
      </w:pPr>
      <w:rPr>
        <w:rFonts w:ascii="Times New Roman" w:hAnsi="Times New Roman" w:hint="default"/>
      </w:rPr>
    </w:lvl>
  </w:abstractNum>
  <w:abstractNum w:abstractNumId="10">
    <w:nsid w:val="31194200"/>
    <w:multiLevelType w:val="hybridMultilevel"/>
    <w:tmpl w:val="4A644E7E"/>
    <w:lvl w:ilvl="0" w:tplc="B532F2E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337144FF"/>
    <w:multiLevelType w:val="hybridMultilevel"/>
    <w:tmpl w:val="237CA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B2D5D41"/>
    <w:multiLevelType w:val="hybridMultilevel"/>
    <w:tmpl w:val="A7E81E56"/>
    <w:lvl w:ilvl="0" w:tplc="49E43390">
      <w:numFmt w:val="bullet"/>
      <w:lvlText w:val="-"/>
      <w:lvlJc w:val="left"/>
      <w:pPr>
        <w:ind w:left="1287" w:hanging="360"/>
      </w:pPr>
      <w:rPr>
        <w:rFonts w:ascii="Arial" w:eastAsia="Times New Roman"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3CF11EF5"/>
    <w:multiLevelType w:val="hybridMultilevel"/>
    <w:tmpl w:val="24761E3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nsid w:val="44AF2D7B"/>
    <w:multiLevelType w:val="hybridMultilevel"/>
    <w:tmpl w:val="1884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FA4B99"/>
    <w:multiLevelType w:val="hybridMultilevel"/>
    <w:tmpl w:val="0F243800"/>
    <w:lvl w:ilvl="0" w:tplc="0C090001">
      <w:start w:val="68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CD6939"/>
    <w:multiLevelType w:val="hybridMultilevel"/>
    <w:tmpl w:val="92AC77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62146A"/>
    <w:multiLevelType w:val="hybridMultilevel"/>
    <w:tmpl w:val="68F647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D2A1361"/>
    <w:multiLevelType w:val="hybridMultilevel"/>
    <w:tmpl w:val="59940204"/>
    <w:lvl w:ilvl="0" w:tplc="A6EE6F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D2D0985"/>
    <w:multiLevelType w:val="hybridMultilevel"/>
    <w:tmpl w:val="AE324E60"/>
    <w:lvl w:ilvl="0" w:tplc="0C090017">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nsid w:val="4D404E13"/>
    <w:multiLevelType w:val="hybridMultilevel"/>
    <w:tmpl w:val="237CA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D72546D"/>
    <w:multiLevelType w:val="hybridMultilevel"/>
    <w:tmpl w:val="24761E3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nsid w:val="4E042AD4"/>
    <w:multiLevelType w:val="hybridMultilevel"/>
    <w:tmpl w:val="24761E3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nsid w:val="52887F8B"/>
    <w:multiLevelType w:val="hybridMultilevel"/>
    <w:tmpl w:val="7E46ACAA"/>
    <w:lvl w:ilvl="0" w:tplc="0C090001">
      <w:start w:val="68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942ADC"/>
    <w:multiLevelType w:val="hybridMultilevel"/>
    <w:tmpl w:val="2A5C7020"/>
    <w:lvl w:ilvl="0" w:tplc="0B8A1F1A">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57C3E19"/>
    <w:multiLevelType w:val="hybridMultilevel"/>
    <w:tmpl w:val="24761E3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nsid w:val="55AC654D"/>
    <w:multiLevelType w:val="hybridMultilevel"/>
    <w:tmpl w:val="24761E3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nsid w:val="5B145919"/>
    <w:multiLevelType w:val="hybridMultilevel"/>
    <w:tmpl w:val="BF5E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384A7B"/>
    <w:multiLevelType w:val="hybridMultilevel"/>
    <w:tmpl w:val="237CA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F300B27"/>
    <w:multiLevelType w:val="hybridMultilevel"/>
    <w:tmpl w:val="76F06BA0"/>
    <w:lvl w:ilvl="0" w:tplc="299A4D7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6B8C2454"/>
    <w:multiLevelType w:val="hybridMultilevel"/>
    <w:tmpl w:val="85F45D68"/>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E3C4400"/>
    <w:multiLevelType w:val="hybridMultilevel"/>
    <w:tmpl w:val="5B7ABA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C91B85"/>
    <w:multiLevelType w:val="hybridMultilevel"/>
    <w:tmpl w:val="131455A8"/>
    <w:lvl w:ilvl="0" w:tplc="85EAE2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3EC708A"/>
    <w:multiLevelType w:val="singleLevel"/>
    <w:tmpl w:val="FE84BE80"/>
    <w:lvl w:ilvl="0">
      <w:start w:val="1"/>
      <w:numFmt w:val="bullet"/>
      <w:pStyle w:val="ListBullet"/>
      <w:lvlText w:val=""/>
      <w:lvlJc w:val="left"/>
      <w:pPr>
        <w:tabs>
          <w:tab w:val="num" w:pos="340"/>
        </w:tabs>
        <w:ind w:left="340" w:hanging="340"/>
      </w:pPr>
      <w:rPr>
        <w:rFonts w:ascii="Wingdings" w:hAnsi="Wingdings" w:hint="default"/>
        <w:sz w:val="18"/>
      </w:rPr>
    </w:lvl>
  </w:abstractNum>
  <w:abstractNum w:abstractNumId="34">
    <w:nsid w:val="77C929AF"/>
    <w:multiLevelType w:val="hybridMultilevel"/>
    <w:tmpl w:val="D500F000"/>
    <w:lvl w:ilvl="0" w:tplc="4894DB5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78E41322"/>
    <w:multiLevelType w:val="hybridMultilevel"/>
    <w:tmpl w:val="B8CAB5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91F5F46"/>
    <w:multiLevelType w:val="hybridMultilevel"/>
    <w:tmpl w:val="E8DA902A"/>
    <w:lvl w:ilvl="0" w:tplc="E31C3B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1E13E3"/>
    <w:multiLevelType w:val="hybridMultilevel"/>
    <w:tmpl w:val="55144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8801BB"/>
    <w:multiLevelType w:val="hybridMultilevel"/>
    <w:tmpl w:val="AE324E60"/>
    <w:lvl w:ilvl="0" w:tplc="0C090017">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9">
    <w:nsid w:val="7F9B2523"/>
    <w:multiLevelType w:val="hybridMultilevel"/>
    <w:tmpl w:val="B3E86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0"/>
  </w:num>
  <w:num w:numId="3">
    <w:abstractNumId w:val="9"/>
  </w:num>
  <w:num w:numId="4">
    <w:abstractNumId w:val="1"/>
  </w:num>
  <w:num w:numId="5">
    <w:abstractNumId w:val="6"/>
  </w:num>
  <w:num w:numId="6">
    <w:abstractNumId w:val="10"/>
  </w:num>
  <w:num w:numId="7">
    <w:abstractNumId w:val="26"/>
  </w:num>
  <w:num w:numId="8">
    <w:abstractNumId w:val="2"/>
  </w:num>
  <w:num w:numId="9">
    <w:abstractNumId w:val="13"/>
  </w:num>
  <w:num w:numId="10">
    <w:abstractNumId w:val="22"/>
  </w:num>
  <w:num w:numId="11">
    <w:abstractNumId w:val="19"/>
  </w:num>
  <w:num w:numId="12">
    <w:abstractNumId w:val="21"/>
  </w:num>
  <w:num w:numId="13">
    <w:abstractNumId w:val="38"/>
  </w:num>
  <w:num w:numId="14">
    <w:abstractNumId w:val="25"/>
  </w:num>
  <w:num w:numId="15">
    <w:abstractNumId w:val="12"/>
  </w:num>
  <w:num w:numId="16">
    <w:abstractNumId w:val="39"/>
  </w:num>
  <w:num w:numId="17">
    <w:abstractNumId w:val="35"/>
  </w:num>
  <w:num w:numId="18">
    <w:abstractNumId w:val="8"/>
  </w:num>
  <w:num w:numId="19">
    <w:abstractNumId w:val="23"/>
  </w:num>
  <w:num w:numId="20">
    <w:abstractNumId w:val="15"/>
  </w:num>
  <w:num w:numId="21">
    <w:abstractNumId w:val="5"/>
  </w:num>
  <w:num w:numId="22">
    <w:abstractNumId w:val="24"/>
  </w:num>
  <w:num w:numId="23">
    <w:abstractNumId w:val="16"/>
  </w:num>
  <w:num w:numId="24">
    <w:abstractNumId w:val="30"/>
  </w:num>
  <w:num w:numId="25">
    <w:abstractNumId w:val="27"/>
  </w:num>
  <w:num w:numId="26">
    <w:abstractNumId w:val="7"/>
  </w:num>
  <w:num w:numId="27">
    <w:abstractNumId w:val="32"/>
  </w:num>
  <w:num w:numId="28">
    <w:abstractNumId w:val="36"/>
  </w:num>
  <w:num w:numId="29">
    <w:abstractNumId w:val="34"/>
  </w:num>
  <w:num w:numId="30">
    <w:abstractNumId w:val="18"/>
  </w:num>
  <w:num w:numId="31">
    <w:abstractNumId w:val="29"/>
  </w:num>
  <w:num w:numId="32">
    <w:abstractNumId w:val="28"/>
  </w:num>
  <w:num w:numId="33">
    <w:abstractNumId w:val="3"/>
  </w:num>
  <w:num w:numId="34">
    <w:abstractNumId w:val="31"/>
  </w:num>
  <w:num w:numId="35">
    <w:abstractNumId w:val="14"/>
  </w:num>
  <w:num w:numId="36">
    <w:abstractNumId w:val="37"/>
  </w:num>
  <w:num w:numId="37">
    <w:abstractNumId w:val="17"/>
  </w:num>
  <w:num w:numId="38">
    <w:abstractNumId w:val="4"/>
  </w:num>
  <w:num w:numId="39">
    <w:abstractNumId w:val="20"/>
  </w:num>
  <w:num w:numId="40">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567"/>
  <w:hyphenationZone w:val="0"/>
  <w:doNotHyphenateCaps/>
  <w:drawingGridHorizontalSpacing w:val="110"/>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docVars>
    <w:docVar w:name="CoName" w:val="Mayne Nickless Limited "/>
    <w:docVar w:name="HdrInfo" w:val="26 November 1999"/>
    <w:docVar w:name="Num3Paras" w:val="No"/>
    <w:docVar w:name="Orientation" w:val="Portrait"/>
    <w:docVar w:name="ReportName" w:val="External Audit Plan and Fee Submission"/>
    <w:docVar w:name="RepSubTitle" w:val="_x000D_2 July 2000"/>
  </w:docVars>
  <w:rsids>
    <w:rsidRoot w:val="00B97136"/>
    <w:rsid w:val="00001C05"/>
    <w:rsid w:val="000073B1"/>
    <w:rsid w:val="00007907"/>
    <w:rsid w:val="000243BC"/>
    <w:rsid w:val="00027BFB"/>
    <w:rsid w:val="000312B4"/>
    <w:rsid w:val="00031662"/>
    <w:rsid w:val="00032E96"/>
    <w:rsid w:val="00036BC8"/>
    <w:rsid w:val="0003782E"/>
    <w:rsid w:val="000411CF"/>
    <w:rsid w:val="00046EF1"/>
    <w:rsid w:val="00052336"/>
    <w:rsid w:val="0006105C"/>
    <w:rsid w:val="00064535"/>
    <w:rsid w:val="00065B7E"/>
    <w:rsid w:val="00070861"/>
    <w:rsid w:val="000718E4"/>
    <w:rsid w:val="00073283"/>
    <w:rsid w:val="000736FB"/>
    <w:rsid w:val="00074398"/>
    <w:rsid w:val="00076A9A"/>
    <w:rsid w:val="000775CA"/>
    <w:rsid w:val="00080880"/>
    <w:rsid w:val="00081B15"/>
    <w:rsid w:val="00085D02"/>
    <w:rsid w:val="00087108"/>
    <w:rsid w:val="000911D1"/>
    <w:rsid w:val="00093598"/>
    <w:rsid w:val="000A1E91"/>
    <w:rsid w:val="000B2070"/>
    <w:rsid w:val="000D1B26"/>
    <w:rsid w:val="000D2462"/>
    <w:rsid w:val="000D6351"/>
    <w:rsid w:val="000D6A49"/>
    <w:rsid w:val="000E4777"/>
    <w:rsid w:val="000F1FDC"/>
    <w:rsid w:val="000F22B4"/>
    <w:rsid w:val="00101F88"/>
    <w:rsid w:val="001116E1"/>
    <w:rsid w:val="00112EB8"/>
    <w:rsid w:val="001163E5"/>
    <w:rsid w:val="00125ECA"/>
    <w:rsid w:val="00132D34"/>
    <w:rsid w:val="00135EA4"/>
    <w:rsid w:val="00141240"/>
    <w:rsid w:val="00141A4D"/>
    <w:rsid w:val="0014236D"/>
    <w:rsid w:val="0015536C"/>
    <w:rsid w:val="0015722C"/>
    <w:rsid w:val="00164885"/>
    <w:rsid w:val="0016582D"/>
    <w:rsid w:val="00167F3D"/>
    <w:rsid w:val="00171FC0"/>
    <w:rsid w:val="00173F81"/>
    <w:rsid w:val="00174AB8"/>
    <w:rsid w:val="001853B8"/>
    <w:rsid w:val="00192A7D"/>
    <w:rsid w:val="00192D2B"/>
    <w:rsid w:val="0019546F"/>
    <w:rsid w:val="001A380B"/>
    <w:rsid w:val="001A45A5"/>
    <w:rsid w:val="001B4735"/>
    <w:rsid w:val="001B758F"/>
    <w:rsid w:val="001C0460"/>
    <w:rsid w:val="001C24D5"/>
    <w:rsid w:val="001C2EA1"/>
    <w:rsid w:val="001C41E7"/>
    <w:rsid w:val="001E21F7"/>
    <w:rsid w:val="001E559C"/>
    <w:rsid w:val="001E72AC"/>
    <w:rsid w:val="001F061F"/>
    <w:rsid w:val="001F16AF"/>
    <w:rsid w:val="001F240B"/>
    <w:rsid w:val="001F3CD1"/>
    <w:rsid w:val="001F46E7"/>
    <w:rsid w:val="001F53F2"/>
    <w:rsid w:val="00200BD0"/>
    <w:rsid w:val="002049CF"/>
    <w:rsid w:val="0022543C"/>
    <w:rsid w:val="00242414"/>
    <w:rsid w:val="00244AC7"/>
    <w:rsid w:val="002455A1"/>
    <w:rsid w:val="00246703"/>
    <w:rsid w:val="00253848"/>
    <w:rsid w:val="002565D1"/>
    <w:rsid w:val="00257EE6"/>
    <w:rsid w:val="00261B9E"/>
    <w:rsid w:val="0026638E"/>
    <w:rsid w:val="00270CB4"/>
    <w:rsid w:val="00271C9D"/>
    <w:rsid w:val="0027384D"/>
    <w:rsid w:val="0027460C"/>
    <w:rsid w:val="00282A21"/>
    <w:rsid w:val="00282AFE"/>
    <w:rsid w:val="00284639"/>
    <w:rsid w:val="00296258"/>
    <w:rsid w:val="002A23CC"/>
    <w:rsid w:val="002B1381"/>
    <w:rsid w:val="002B3FD9"/>
    <w:rsid w:val="002B497C"/>
    <w:rsid w:val="002C0206"/>
    <w:rsid w:val="002C45A1"/>
    <w:rsid w:val="002D2BF3"/>
    <w:rsid w:val="002D4D70"/>
    <w:rsid w:val="002E036E"/>
    <w:rsid w:val="002E172F"/>
    <w:rsid w:val="002E2A55"/>
    <w:rsid w:val="002E5E88"/>
    <w:rsid w:val="002E6155"/>
    <w:rsid w:val="002E61E5"/>
    <w:rsid w:val="002F14E6"/>
    <w:rsid w:val="002F64B3"/>
    <w:rsid w:val="002F761D"/>
    <w:rsid w:val="00300235"/>
    <w:rsid w:val="003017E5"/>
    <w:rsid w:val="00303108"/>
    <w:rsid w:val="00313693"/>
    <w:rsid w:val="003143C2"/>
    <w:rsid w:val="0031693E"/>
    <w:rsid w:val="0032046F"/>
    <w:rsid w:val="00325C80"/>
    <w:rsid w:val="00326491"/>
    <w:rsid w:val="00330D72"/>
    <w:rsid w:val="0033558A"/>
    <w:rsid w:val="00337603"/>
    <w:rsid w:val="00342CBE"/>
    <w:rsid w:val="00347E33"/>
    <w:rsid w:val="003603C7"/>
    <w:rsid w:val="00361BB3"/>
    <w:rsid w:val="00374C80"/>
    <w:rsid w:val="00376DD6"/>
    <w:rsid w:val="00381CE1"/>
    <w:rsid w:val="00383250"/>
    <w:rsid w:val="00385A4F"/>
    <w:rsid w:val="00387455"/>
    <w:rsid w:val="00390372"/>
    <w:rsid w:val="00390547"/>
    <w:rsid w:val="00394598"/>
    <w:rsid w:val="003A00FE"/>
    <w:rsid w:val="003A1716"/>
    <w:rsid w:val="003A2FF4"/>
    <w:rsid w:val="003A345A"/>
    <w:rsid w:val="003A5737"/>
    <w:rsid w:val="003A5F2D"/>
    <w:rsid w:val="003A7930"/>
    <w:rsid w:val="003A7D34"/>
    <w:rsid w:val="003B269B"/>
    <w:rsid w:val="003B279F"/>
    <w:rsid w:val="003B2F91"/>
    <w:rsid w:val="003B48EB"/>
    <w:rsid w:val="003B55DC"/>
    <w:rsid w:val="003C03BD"/>
    <w:rsid w:val="003C6916"/>
    <w:rsid w:val="003C7141"/>
    <w:rsid w:val="003D3360"/>
    <w:rsid w:val="003D56B5"/>
    <w:rsid w:val="003D5AD6"/>
    <w:rsid w:val="003E0067"/>
    <w:rsid w:val="003E324E"/>
    <w:rsid w:val="003E3669"/>
    <w:rsid w:val="003F24C3"/>
    <w:rsid w:val="003F4C1F"/>
    <w:rsid w:val="00400AB5"/>
    <w:rsid w:val="00407102"/>
    <w:rsid w:val="00411830"/>
    <w:rsid w:val="00412004"/>
    <w:rsid w:val="004164F6"/>
    <w:rsid w:val="00416505"/>
    <w:rsid w:val="004202C2"/>
    <w:rsid w:val="004254B6"/>
    <w:rsid w:val="00427AA4"/>
    <w:rsid w:val="004310C9"/>
    <w:rsid w:val="00432C29"/>
    <w:rsid w:val="00433D6B"/>
    <w:rsid w:val="00437E69"/>
    <w:rsid w:val="004575B3"/>
    <w:rsid w:val="0046278A"/>
    <w:rsid w:val="00465F7F"/>
    <w:rsid w:val="00470A81"/>
    <w:rsid w:val="00474303"/>
    <w:rsid w:val="0048338F"/>
    <w:rsid w:val="00486158"/>
    <w:rsid w:val="00493F37"/>
    <w:rsid w:val="0049702D"/>
    <w:rsid w:val="00497AB6"/>
    <w:rsid w:val="004B3332"/>
    <w:rsid w:val="004B3C5C"/>
    <w:rsid w:val="004C1272"/>
    <w:rsid w:val="004D04F2"/>
    <w:rsid w:val="004D0976"/>
    <w:rsid w:val="004D5A4F"/>
    <w:rsid w:val="004D65C4"/>
    <w:rsid w:val="004D76B8"/>
    <w:rsid w:val="004E1669"/>
    <w:rsid w:val="004F0239"/>
    <w:rsid w:val="004F1A23"/>
    <w:rsid w:val="004F270D"/>
    <w:rsid w:val="004F46B2"/>
    <w:rsid w:val="004F5574"/>
    <w:rsid w:val="00505C50"/>
    <w:rsid w:val="0050627B"/>
    <w:rsid w:val="00516EC7"/>
    <w:rsid w:val="0053226A"/>
    <w:rsid w:val="00533D93"/>
    <w:rsid w:val="00543702"/>
    <w:rsid w:val="00543DBD"/>
    <w:rsid w:val="00545876"/>
    <w:rsid w:val="005531F0"/>
    <w:rsid w:val="005552B3"/>
    <w:rsid w:val="00556AFD"/>
    <w:rsid w:val="00556C42"/>
    <w:rsid w:val="005710F4"/>
    <w:rsid w:val="005733CC"/>
    <w:rsid w:val="00576BAD"/>
    <w:rsid w:val="00576E34"/>
    <w:rsid w:val="005838AF"/>
    <w:rsid w:val="00586AFE"/>
    <w:rsid w:val="00590E07"/>
    <w:rsid w:val="00591EFE"/>
    <w:rsid w:val="00592630"/>
    <w:rsid w:val="00594CFE"/>
    <w:rsid w:val="00595B4F"/>
    <w:rsid w:val="005A228A"/>
    <w:rsid w:val="005A2F8A"/>
    <w:rsid w:val="005B1F4F"/>
    <w:rsid w:val="005B4AF0"/>
    <w:rsid w:val="005B4D2E"/>
    <w:rsid w:val="005B566C"/>
    <w:rsid w:val="005C3A5D"/>
    <w:rsid w:val="005C3DB7"/>
    <w:rsid w:val="005E4CB4"/>
    <w:rsid w:val="005E7AEF"/>
    <w:rsid w:val="005F1570"/>
    <w:rsid w:val="005F1907"/>
    <w:rsid w:val="005F3DC6"/>
    <w:rsid w:val="005F6AEC"/>
    <w:rsid w:val="005F741A"/>
    <w:rsid w:val="006061D7"/>
    <w:rsid w:val="006109FC"/>
    <w:rsid w:val="00612D6D"/>
    <w:rsid w:val="00617E56"/>
    <w:rsid w:val="0062065D"/>
    <w:rsid w:val="00622673"/>
    <w:rsid w:val="00630839"/>
    <w:rsid w:val="00630A93"/>
    <w:rsid w:val="00664F36"/>
    <w:rsid w:val="00671F72"/>
    <w:rsid w:val="00674044"/>
    <w:rsid w:val="00677E89"/>
    <w:rsid w:val="00681AE9"/>
    <w:rsid w:val="00682CDB"/>
    <w:rsid w:val="00683C90"/>
    <w:rsid w:val="0068576C"/>
    <w:rsid w:val="00685DF7"/>
    <w:rsid w:val="00691599"/>
    <w:rsid w:val="00692943"/>
    <w:rsid w:val="00697655"/>
    <w:rsid w:val="006A1073"/>
    <w:rsid w:val="006A4183"/>
    <w:rsid w:val="006A608C"/>
    <w:rsid w:val="006B322F"/>
    <w:rsid w:val="006C16C9"/>
    <w:rsid w:val="006C2A0E"/>
    <w:rsid w:val="006C4A15"/>
    <w:rsid w:val="006C5A97"/>
    <w:rsid w:val="006C5FA9"/>
    <w:rsid w:val="006D22EA"/>
    <w:rsid w:val="006D2FF4"/>
    <w:rsid w:val="006E562C"/>
    <w:rsid w:val="006E6B50"/>
    <w:rsid w:val="006E71DA"/>
    <w:rsid w:val="006F157F"/>
    <w:rsid w:val="006F601A"/>
    <w:rsid w:val="006F68FC"/>
    <w:rsid w:val="00700FD6"/>
    <w:rsid w:val="00703A57"/>
    <w:rsid w:val="00703DFB"/>
    <w:rsid w:val="00704B7E"/>
    <w:rsid w:val="00706A68"/>
    <w:rsid w:val="00706F14"/>
    <w:rsid w:val="00711BC7"/>
    <w:rsid w:val="00721B7E"/>
    <w:rsid w:val="0074278B"/>
    <w:rsid w:val="00746087"/>
    <w:rsid w:val="007463B7"/>
    <w:rsid w:val="00747E3F"/>
    <w:rsid w:val="00750040"/>
    <w:rsid w:val="00750B7C"/>
    <w:rsid w:val="00750BDE"/>
    <w:rsid w:val="00752A87"/>
    <w:rsid w:val="0075669B"/>
    <w:rsid w:val="00760B48"/>
    <w:rsid w:val="00773567"/>
    <w:rsid w:val="007760DF"/>
    <w:rsid w:val="00777D4D"/>
    <w:rsid w:val="0078069A"/>
    <w:rsid w:val="00781A27"/>
    <w:rsid w:val="00784DF2"/>
    <w:rsid w:val="007850EB"/>
    <w:rsid w:val="007861FD"/>
    <w:rsid w:val="00787EBD"/>
    <w:rsid w:val="00790C5D"/>
    <w:rsid w:val="00795DB8"/>
    <w:rsid w:val="007A5BC0"/>
    <w:rsid w:val="007B1978"/>
    <w:rsid w:val="007B1EA7"/>
    <w:rsid w:val="007B411A"/>
    <w:rsid w:val="007B66C5"/>
    <w:rsid w:val="007B7F4A"/>
    <w:rsid w:val="007D3531"/>
    <w:rsid w:val="007D59EB"/>
    <w:rsid w:val="007E30D4"/>
    <w:rsid w:val="007E5637"/>
    <w:rsid w:val="007E56C5"/>
    <w:rsid w:val="007E7D2B"/>
    <w:rsid w:val="007F3452"/>
    <w:rsid w:val="007F78E9"/>
    <w:rsid w:val="00801C13"/>
    <w:rsid w:val="00803C05"/>
    <w:rsid w:val="00805DCA"/>
    <w:rsid w:val="0081280A"/>
    <w:rsid w:val="008209BC"/>
    <w:rsid w:val="00824D00"/>
    <w:rsid w:val="00824DA2"/>
    <w:rsid w:val="008300AE"/>
    <w:rsid w:val="00835F73"/>
    <w:rsid w:val="00843700"/>
    <w:rsid w:val="0084501A"/>
    <w:rsid w:val="00852CB2"/>
    <w:rsid w:val="00853C0D"/>
    <w:rsid w:val="00861BE4"/>
    <w:rsid w:val="00864057"/>
    <w:rsid w:val="00864820"/>
    <w:rsid w:val="00872945"/>
    <w:rsid w:val="008820C0"/>
    <w:rsid w:val="00885124"/>
    <w:rsid w:val="0088518C"/>
    <w:rsid w:val="00886D18"/>
    <w:rsid w:val="008878D5"/>
    <w:rsid w:val="00895104"/>
    <w:rsid w:val="0089765C"/>
    <w:rsid w:val="008A020A"/>
    <w:rsid w:val="008A58FE"/>
    <w:rsid w:val="008B005E"/>
    <w:rsid w:val="008B10FD"/>
    <w:rsid w:val="008B13C2"/>
    <w:rsid w:val="008B31FE"/>
    <w:rsid w:val="008B370F"/>
    <w:rsid w:val="008C1694"/>
    <w:rsid w:val="008C40F2"/>
    <w:rsid w:val="008C5C71"/>
    <w:rsid w:val="008C79D4"/>
    <w:rsid w:val="008D2B5D"/>
    <w:rsid w:val="008D2F20"/>
    <w:rsid w:val="008D64E6"/>
    <w:rsid w:val="008D7E4A"/>
    <w:rsid w:val="008E2BFB"/>
    <w:rsid w:val="008E4BF1"/>
    <w:rsid w:val="008E5187"/>
    <w:rsid w:val="008F540E"/>
    <w:rsid w:val="008F5EDD"/>
    <w:rsid w:val="00902E4B"/>
    <w:rsid w:val="00902E6B"/>
    <w:rsid w:val="0091109E"/>
    <w:rsid w:val="0091338E"/>
    <w:rsid w:val="00913A0C"/>
    <w:rsid w:val="00917BBB"/>
    <w:rsid w:val="009206B4"/>
    <w:rsid w:val="00920FFA"/>
    <w:rsid w:val="009254EF"/>
    <w:rsid w:val="00927FDA"/>
    <w:rsid w:val="009334D3"/>
    <w:rsid w:val="00934F7D"/>
    <w:rsid w:val="00946727"/>
    <w:rsid w:val="00947E83"/>
    <w:rsid w:val="00950E63"/>
    <w:rsid w:val="00954D3B"/>
    <w:rsid w:val="0096443F"/>
    <w:rsid w:val="00967AE3"/>
    <w:rsid w:val="00977945"/>
    <w:rsid w:val="0098017A"/>
    <w:rsid w:val="00981B68"/>
    <w:rsid w:val="00983227"/>
    <w:rsid w:val="00983E83"/>
    <w:rsid w:val="00991E53"/>
    <w:rsid w:val="00992536"/>
    <w:rsid w:val="00993C20"/>
    <w:rsid w:val="00993D07"/>
    <w:rsid w:val="009950D7"/>
    <w:rsid w:val="009A2E98"/>
    <w:rsid w:val="009B2D31"/>
    <w:rsid w:val="009C1A93"/>
    <w:rsid w:val="009C29C2"/>
    <w:rsid w:val="009C57F0"/>
    <w:rsid w:val="009D1B1B"/>
    <w:rsid w:val="009D7C13"/>
    <w:rsid w:val="009E62D6"/>
    <w:rsid w:val="009F0296"/>
    <w:rsid w:val="009F2966"/>
    <w:rsid w:val="009F3591"/>
    <w:rsid w:val="00A00B63"/>
    <w:rsid w:val="00A024D9"/>
    <w:rsid w:val="00A05E7B"/>
    <w:rsid w:val="00A126AB"/>
    <w:rsid w:val="00A142A7"/>
    <w:rsid w:val="00A14A00"/>
    <w:rsid w:val="00A15223"/>
    <w:rsid w:val="00A1540D"/>
    <w:rsid w:val="00A173E5"/>
    <w:rsid w:val="00A21CC9"/>
    <w:rsid w:val="00A308D6"/>
    <w:rsid w:val="00A31CB8"/>
    <w:rsid w:val="00A32865"/>
    <w:rsid w:val="00A35290"/>
    <w:rsid w:val="00A35918"/>
    <w:rsid w:val="00A374AA"/>
    <w:rsid w:val="00A41338"/>
    <w:rsid w:val="00A433A9"/>
    <w:rsid w:val="00A501CF"/>
    <w:rsid w:val="00A50778"/>
    <w:rsid w:val="00A5083E"/>
    <w:rsid w:val="00A52345"/>
    <w:rsid w:val="00A57620"/>
    <w:rsid w:val="00A60955"/>
    <w:rsid w:val="00A62C14"/>
    <w:rsid w:val="00A64C02"/>
    <w:rsid w:val="00A65DD1"/>
    <w:rsid w:val="00A671F7"/>
    <w:rsid w:val="00A7000F"/>
    <w:rsid w:val="00A711EB"/>
    <w:rsid w:val="00A71C6A"/>
    <w:rsid w:val="00A75093"/>
    <w:rsid w:val="00A8198A"/>
    <w:rsid w:val="00A821EE"/>
    <w:rsid w:val="00A863FD"/>
    <w:rsid w:val="00A872AF"/>
    <w:rsid w:val="00A90FB2"/>
    <w:rsid w:val="00A91054"/>
    <w:rsid w:val="00A92360"/>
    <w:rsid w:val="00A9294F"/>
    <w:rsid w:val="00AA2F84"/>
    <w:rsid w:val="00AA3E31"/>
    <w:rsid w:val="00AA50FF"/>
    <w:rsid w:val="00AA6420"/>
    <w:rsid w:val="00AB00E3"/>
    <w:rsid w:val="00AB0FA0"/>
    <w:rsid w:val="00AC108A"/>
    <w:rsid w:val="00AC184F"/>
    <w:rsid w:val="00AC2BB7"/>
    <w:rsid w:val="00AC37EF"/>
    <w:rsid w:val="00AC3E69"/>
    <w:rsid w:val="00AC4C17"/>
    <w:rsid w:val="00AC4FA6"/>
    <w:rsid w:val="00AC6405"/>
    <w:rsid w:val="00AD4F83"/>
    <w:rsid w:val="00AE0E20"/>
    <w:rsid w:val="00AF0B98"/>
    <w:rsid w:val="00AF2122"/>
    <w:rsid w:val="00AF3149"/>
    <w:rsid w:val="00AF727C"/>
    <w:rsid w:val="00B008D2"/>
    <w:rsid w:val="00B008F7"/>
    <w:rsid w:val="00B03158"/>
    <w:rsid w:val="00B0510A"/>
    <w:rsid w:val="00B14EDF"/>
    <w:rsid w:val="00B21909"/>
    <w:rsid w:val="00B26EA2"/>
    <w:rsid w:val="00B27334"/>
    <w:rsid w:val="00B27A86"/>
    <w:rsid w:val="00B3403F"/>
    <w:rsid w:val="00B50DD8"/>
    <w:rsid w:val="00B520A0"/>
    <w:rsid w:val="00B525CB"/>
    <w:rsid w:val="00B54A23"/>
    <w:rsid w:val="00B62E4A"/>
    <w:rsid w:val="00B63B8A"/>
    <w:rsid w:val="00B70625"/>
    <w:rsid w:val="00B71034"/>
    <w:rsid w:val="00B7338C"/>
    <w:rsid w:val="00B733A3"/>
    <w:rsid w:val="00B74962"/>
    <w:rsid w:val="00B754A4"/>
    <w:rsid w:val="00B75CE6"/>
    <w:rsid w:val="00B8118D"/>
    <w:rsid w:val="00B8353F"/>
    <w:rsid w:val="00B861A2"/>
    <w:rsid w:val="00B915D5"/>
    <w:rsid w:val="00B94A4A"/>
    <w:rsid w:val="00B97136"/>
    <w:rsid w:val="00BA2D82"/>
    <w:rsid w:val="00BA4A43"/>
    <w:rsid w:val="00BC1567"/>
    <w:rsid w:val="00BD23AF"/>
    <w:rsid w:val="00BD595F"/>
    <w:rsid w:val="00BE2638"/>
    <w:rsid w:val="00BE5AD4"/>
    <w:rsid w:val="00BF113A"/>
    <w:rsid w:val="00BF207C"/>
    <w:rsid w:val="00BF4A32"/>
    <w:rsid w:val="00C001DA"/>
    <w:rsid w:val="00C00B07"/>
    <w:rsid w:val="00C02B31"/>
    <w:rsid w:val="00C04379"/>
    <w:rsid w:val="00C059D3"/>
    <w:rsid w:val="00C063DE"/>
    <w:rsid w:val="00C1018B"/>
    <w:rsid w:val="00C221A3"/>
    <w:rsid w:val="00C2448A"/>
    <w:rsid w:val="00C30F24"/>
    <w:rsid w:val="00C3253D"/>
    <w:rsid w:val="00C3279D"/>
    <w:rsid w:val="00C32905"/>
    <w:rsid w:val="00C338CD"/>
    <w:rsid w:val="00C45422"/>
    <w:rsid w:val="00C50C7B"/>
    <w:rsid w:val="00C613B7"/>
    <w:rsid w:val="00C64B17"/>
    <w:rsid w:val="00C64F21"/>
    <w:rsid w:val="00C6510D"/>
    <w:rsid w:val="00C668D5"/>
    <w:rsid w:val="00C67207"/>
    <w:rsid w:val="00C73F42"/>
    <w:rsid w:val="00C8118F"/>
    <w:rsid w:val="00C83988"/>
    <w:rsid w:val="00C879ED"/>
    <w:rsid w:val="00C913A0"/>
    <w:rsid w:val="00C917FF"/>
    <w:rsid w:val="00C926AE"/>
    <w:rsid w:val="00C92C40"/>
    <w:rsid w:val="00C93CB8"/>
    <w:rsid w:val="00CA159C"/>
    <w:rsid w:val="00CA22C2"/>
    <w:rsid w:val="00CA256E"/>
    <w:rsid w:val="00CB7C04"/>
    <w:rsid w:val="00CC3451"/>
    <w:rsid w:val="00CC478C"/>
    <w:rsid w:val="00CC53CC"/>
    <w:rsid w:val="00CC5751"/>
    <w:rsid w:val="00CC5F54"/>
    <w:rsid w:val="00CE42D7"/>
    <w:rsid w:val="00CE4AAC"/>
    <w:rsid w:val="00CF1FA5"/>
    <w:rsid w:val="00CF63A0"/>
    <w:rsid w:val="00D006A9"/>
    <w:rsid w:val="00D03083"/>
    <w:rsid w:val="00D04599"/>
    <w:rsid w:val="00D06225"/>
    <w:rsid w:val="00D11F19"/>
    <w:rsid w:val="00D14AC0"/>
    <w:rsid w:val="00D175D6"/>
    <w:rsid w:val="00D17D98"/>
    <w:rsid w:val="00D205BA"/>
    <w:rsid w:val="00D21A58"/>
    <w:rsid w:val="00D22C4C"/>
    <w:rsid w:val="00D247CA"/>
    <w:rsid w:val="00D269B2"/>
    <w:rsid w:val="00D27804"/>
    <w:rsid w:val="00D3136B"/>
    <w:rsid w:val="00D35297"/>
    <w:rsid w:val="00D36224"/>
    <w:rsid w:val="00D4019D"/>
    <w:rsid w:val="00D50405"/>
    <w:rsid w:val="00D515FD"/>
    <w:rsid w:val="00D51EA5"/>
    <w:rsid w:val="00D573CA"/>
    <w:rsid w:val="00D60023"/>
    <w:rsid w:val="00D63900"/>
    <w:rsid w:val="00D67411"/>
    <w:rsid w:val="00D71262"/>
    <w:rsid w:val="00D72C7C"/>
    <w:rsid w:val="00D73176"/>
    <w:rsid w:val="00D74194"/>
    <w:rsid w:val="00D75DB9"/>
    <w:rsid w:val="00D775D0"/>
    <w:rsid w:val="00D81CE8"/>
    <w:rsid w:val="00D839F5"/>
    <w:rsid w:val="00D90DA8"/>
    <w:rsid w:val="00DA1ED7"/>
    <w:rsid w:val="00DB0A30"/>
    <w:rsid w:val="00DB63A2"/>
    <w:rsid w:val="00DB6B30"/>
    <w:rsid w:val="00DB7929"/>
    <w:rsid w:val="00DC0D7C"/>
    <w:rsid w:val="00DC4972"/>
    <w:rsid w:val="00DC506C"/>
    <w:rsid w:val="00DC62AA"/>
    <w:rsid w:val="00DC62DB"/>
    <w:rsid w:val="00DD2E4A"/>
    <w:rsid w:val="00DD340E"/>
    <w:rsid w:val="00DD5A58"/>
    <w:rsid w:val="00DE14C6"/>
    <w:rsid w:val="00DE1689"/>
    <w:rsid w:val="00DE2657"/>
    <w:rsid w:val="00DF1279"/>
    <w:rsid w:val="00DF62CA"/>
    <w:rsid w:val="00DF6C10"/>
    <w:rsid w:val="00E03EC7"/>
    <w:rsid w:val="00E130AB"/>
    <w:rsid w:val="00E21785"/>
    <w:rsid w:val="00E21F9A"/>
    <w:rsid w:val="00E235A1"/>
    <w:rsid w:val="00E23A35"/>
    <w:rsid w:val="00E24481"/>
    <w:rsid w:val="00E25A81"/>
    <w:rsid w:val="00E279FB"/>
    <w:rsid w:val="00E34076"/>
    <w:rsid w:val="00E4195F"/>
    <w:rsid w:val="00E50F2D"/>
    <w:rsid w:val="00E70159"/>
    <w:rsid w:val="00E701D2"/>
    <w:rsid w:val="00E75073"/>
    <w:rsid w:val="00E82921"/>
    <w:rsid w:val="00E850BB"/>
    <w:rsid w:val="00E85C94"/>
    <w:rsid w:val="00E87CFA"/>
    <w:rsid w:val="00EA556B"/>
    <w:rsid w:val="00EA57CC"/>
    <w:rsid w:val="00EA5E4D"/>
    <w:rsid w:val="00EA6888"/>
    <w:rsid w:val="00EA7989"/>
    <w:rsid w:val="00EB2D71"/>
    <w:rsid w:val="00EC2EFF"/>
    <w:rsid w:val="00EC33F6"/>
    <w:rsid w:val="00EC3C4E"/>
    <w:rsid w:val="00EC465C"/>
    <w:rsid w:val="00EC51F9"/>
    <w:rsid w:val="00EC67EF"/>
    <w:rsid w:val="00ED063A"/>
    <w:rsid w:val="00ED449A"/>
    <w:rsid w:val="00ED45C4"/>
    <w:rsid w:val="00ED5295"/>
    <w:rsid w:val="00EE2B2D"/>
    <w:rsid w:val="00EE351B"/>
    <w:rsid w:val="00EF3452"/>
    <w:rsid w:val="00EF6C46"/>
    <w:rsid w:val="00F0174F"/>
    <w:rsid w:val="00F02D60"/>
    <w:rsid w:val="00F04704"/>
    <w:rsid w:val="00F05608"/>
    <w:rsid w:val="00F071A3"/>
    <w:rsid w:val="00F0769C"/>
    <w:rsid w:val="00F15D14"/>
    <w:rsid w:val="00F166C8"/>
    <w:rsid w:val="00F17962"/>
    <w:rsid w:val="00F21CD3"/>
    <w:rsid w:val="00F30634"/>
    <w:rsid w:val="00F33C29"/>
    <w:rsid w:val="00F344DA"/>
    <w:rsid w:val="00F450FE"/>
    <w:rsid w:val="00F45579"/>
    <w:rsid w:val="00F45AF3"/>
    <w:rsid w:val="00F50F4D"/>
    <w:rsid w:val="00F51DE8"/>
    <w:rsid w:val="00F564D8"/>
    <w:rsid w:val="00F60546"/>
    <w:rsid w:val="00F6129D"/>
    <w:rsid w:val="00F701CB"/>
    <w:rsid w:val="00F81A90"/>
    <w:rsid w:val="00F832B6"/>
    <w:rsid w:val="00F838A2"/>
    <w:rsid w:val="00F839E0"/>
    <w:rsid w:val="00F857F6"/>
    <w:rsid w:val="00F87FA2"/>
    <w:rsid w:val="00F900B6"/>
    <w:rsid w:val="00F91407"/>
    <w:rsid w:val="00F9175F"/>
    <w:rsid w:val="00FA3D83"/>
    <w:rsid w:val="00FA4DEC"/>
    <w:rsid w:val="00FB1C5D"/>
    <w:rsid w:val="00FC1C5D"/>
    <w:rsid w:val="00FD1B44"/>
    <w:rsid w:val="00FD7F3F"/>
    <w:rsid w:val="00FE10EC"/>
    <w:rsid w:val="00FE56A4"/>
    <w:rsid w:val="00FE5884"/>
    <w:rsid w:val="00FF42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D07"/>
    <w:pPr>
      <w:spacing w:line="260" w:lineRule="atLeast"/>
    </w:pPr>
    <w:rPr>
      <w:rFonts w:ascii="Arial" w:hAnsi="Arial"/>
      <w:lang w:eastAsia="en-US"/>
    </w:rPr>
  </w:style>
  <w:style w:type="paragraph" w:styleId="Heading1">
    <w:name w:val="heading 1"/>
    <w:basedOn w:val="Heading2"/>
    <w:next w:val="BodyText"/>
    <w:qFormat/>
    <w:rsid w:val="00C063DE"/>
    <w:pPr>
      <w:pageBreakBefore/>
      <w:numPr>
        <w:ilvl w:val="0"/>
      </w:numPr>
      <w:spacing w:before="0" w:line="360" w:lineRule="exact"/>
      <w:ind w:left="0" w:firstLine="0"/>
      <w:outlineLvl w:val="0"/>
    </w:pPr>
    <w:rPr>
      <w:sz w:val="32"/>
    </w:rPr>
  </w:style>
  <w:style w:type="paragraph" w:styleId="Heading2">
    <w:name w:val="heading 2"/>
    <w:aliases w:val="h2 main heading"/>
    <w:basedOn w:val="BodyText"/>
    <w:next w:val="BodyText"/>
    <w:autoRedefine/>
    <w:qFormat/>
    <w:rsid w:val="00CC5F54"/>
    <w:pPr>
      <w:keepNext/>
      <w:numPr>
        <w:ilvl w:val="1"/>
        <w:numId w:val="2"/>
      </w:numPr>
      <w:spacing w:before="260" w:after="140" w:line="320" w:lineRule="exact"/>
      <w:ind w:left="720" w:hanging="720"/>
      <w:jc w:val="left"/>
      <w:outlineLvl w:val="1"/>
    </w:pPr>
    <w:rPr>
      <w:rFonts w:cs="Arial"/>
      <w:bCs/>
      <w:snapToGrid w:val="0"/>
      <w:color w:val="00B0F0"/>
      <w:sz w:val="24"/>
      <w:szCs w:val="24"/>
    </w:rPr>
  </w:style>
  <w:style w:type="paragraph" w:styleId="Heading3">
    <w:name w:val="heading 3"/>
    <w:basedOn w:val="Heading4"/>
    <w:next w:val="BodyText"/>
    <w:qFormat/>
    <w:rsid w:val="00C063DE"/>
    <w:pPr>
      <w:numPr>
        <w:ilvl w:val="2"/>
      </w:numPr>
      <w:outlineLvl w:val="2"/>
    </w:pPr>
    <w:rPr>
      <w:i w:val="0"/>
      <w:snapToGrid w:val="0"/>
      <w:color w:val="0000FF"/>
    </w:rPr>
  </w:style>
  <w:style w:type="paragraph" w:styleId="Heading4">
    <w:name w:val="heading 4"/>
    <w:basedOn w:val="Heading5"/>
    <w:next w:val="BodyText"/>
    <w:qFormat/>
    <w:rsid w:val="00C063DE"/>
    <w:pPr>
      <w:numPr>
        <w:ilvl w:val="3"/>
      </w:numPr>
      <w:spacing w:line="280" w:lineRule="exact"/>
      <w:outlineLvl w:val="3"/>
    </w:pPr>
    <w:rPr>
      <w:b/>
      <w:sz w:val="24"/>
    </w:rPr>
  </w:style>
  <w:style w:type="paragraph" w:styleId="Heading5">
    <w:name w:val="heading 5"/>
    <w:basedOn w:val="BodyText"/>
    <w:next w:val="BodyText"/>
    <w:qFormat/>
    <w:rsid w:val="00C063DE"/>
    <w:pPr>
      <w:keepNext/>
      <w:numPr>
        <w:ilvl w:val="4"/>
        <w:numId w:val="2"/>
      </w:numPr>
      <w:spacing w:before="260" w:after="140" w:line="260" w:lineRule="exact"/>
      <w:jc w:val="left"/>
      <w:outlineLvl w:val="4"/>
    </w:pPr>
    <w:rPr>
      <w:i/>
    </w:rPr>
  </w:style>
  <w:style w:type="paragraph" w:styleId="Heading6">
    <w:name w:val="heading 6"/>
    <w:basedOn w:val="Normal"/>
    <w:next w:val="Normal"/>
    <w:qFormat/>
    <w:rsid w:val="00C063DE"/>
    <w:pPr>
      <w:numPr>
        <w:ilvl w:val="5"/>
        <w:numId w:val="2"/>
      </w:numPr>
      <w:outlineLvl w:val="5"/>
    </w:pPr>
  </w:style>
  <w:style w:type="paragraph" w:styleId="Heading7">
    <w:name w:val="heading 7"/>
    <w:basedOn w:val="Normal"/>
    <w:next w:val="Normal"/>
    <w:qFormat/>
    <w:rsid w:val="00C063DE"/>
    <w:pPr>
      <w:numPr>
        <w:ilvl w:val="6"/>
        <w:numId w:val="2"/>
      </w:numPr>
      <w:outlineLvl w:val="6"/>
    </w:pPr>
  </w:style>
  <w:style w:type="paragraph" w:styleId="Heading8">
    <w:name w:val="heading 8"/>
    <w:basedOn w:val="Normal"/>
    <w:next w:val="Normal"/>
    <w:qFormat/>
    <w:rsid w:val="00C063DE"/>
    <w:pPr>
      <w:numPr>
        <w:ilvl w:val="7"/>
        <w:numId w:val="2"/>
      </w:numPr>
      <w:outlineLvl w:val="7"/>
    </w:pPr>
  </w:style>
  <w:style w:type="paragraph" w:styleId="Heading9">
    <w:name w:val="heading 9"/>
    <w:basedOn w:val="Normal"/>
    <w:next w:val="Normal"/>
    <w:qFormat/>
    <w:rsid w:val="00C063DE"/>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63DE"/>
    <w:pPr>
      <w:spacing w:after="260"/>
      <w:jc w:val="both"/>
    </w:pPr>
  </w:style>
  <w:style w:type="paragraph" w:styleId="TOC4">
    <w:name w:val="toc 4"/>
    <w:basedOn w:val="TOC3"/>
    <w:semiHidden/>
    <w:rsid w:val="00C063DE"/>
    <w:pPr>
      <w:ind w:left="660"/>
    </w:pPr>
    <w:rPr>
      <w:i w:val="0"/>
      <w:sz w:val="18"/>
    </w:rPr>
  </w:style>
  <w:style w:type="paragraph" w:styleId="TOC3">
    <w:name w:val="toc 3"/>
    <w:basedOn w:val="TOC2"/>
    <w:uiPriority w:val="39"/>
    <w:rsid w:val="00C063DE"/>
    <w:pPr>
      <w:ind w:left="440"/>
    </w:pPr>
    <w:rPr>
      <w:i/>
      <w:smallCaps w:val="0"/>
    </w:rPr>
  </w:style>
  <w:style w:type="paragraph" w:styleId="TOC2">
    <w:name w:val="toc 2"/>
    <w:basedOn w:val="TOC1"/>
    <w:uiPriority w:val="39"/>
    <w:rsid w:val="00C063DE"/>
    <w:pPr>
      <w:spacing w:before="0" w:after="0"/>
      <w:ind w:left="220"/>
    </w:pPr>
    <w:rPr>
      <w:b w:val="0"/>
      <w:caps w:val="0"/>
      <w:smallCaps/>
    </w:rPr>
  </w:style>
  <w:style w:type="paragraph" w:styleId="TOC1">
    <w:name w:val="toc 1"/>
    <w:basedOn w:val="Normal"/>
    <w:uiPriority w:val="39"/>
    <w:rsid w:val="00C063DE"/>
    <w:pPr>
      <w:spacing w:before="120" w:after="120"/>
    </w:pPr>
    <w:rPr>
      <w:b/>
      <w:caps/>
    </w:rPr>
  </w:style>
  <w:style w:type="paragraph" w:styleId="Footer">
    <w:name w:val="footer"/>
    <w:basedOn w:val="Normal"/>
    <w:rsid w:val="00C063DE"/>
    <w:pPr>
      <w:tabs>
        <w:tab w:val="right" w:pos="8222"/>
      </w:tabs>
    </w:pPr>
    <w:rPr>
      <w:sz w:val="18"/>
    </w:rPr>
  </w:style>
  <w:style w:type="paragraph" w:styleId="Header">
    <w:name w:val="header"/>
    <w:basedOn w:val="Normal"/>
    <w:rsid w:val="00C063DE"/>
    <w:pPr>
      <w:spacing w:line="220" w:lineRule="atLeast"/>
      <w:jc w:val="right"/>
    </w:pPr>
    <w:rPr>
      <w:i/>
      <w:sz w:val="18"/>
    </w:rPr>
  </w:style>
  <w:style w:type="paragraph" w:styleId="ListBullet">
    <w:name w:val="List Bullet"/>
    <w:basedOn w:val="BodyText"/>
    <w:rsid w:val="00C063DE"/>
    <w:pPr>
      <w:numPr>
        <w:numId w:val="1"/>
      </w:numPr>
    </w:pPr>
  </w:style>
  <w:style w:type="paragraph" w:styleId="ListBullet2">
    <w:name w:val="List Bullet 2"/>
    <w:basedOn w:val="ListBullet"/>
    <w:rsid w:val="00C063DE"/>
    <w:pPr>
      <w:numPr>
        <w:numId w:val="3"/>
      </w:numPr>
    </w:pPr>
  </w:style>
  <w:style w:type="paragraph" w:customStyle="1" w:styleId="zreportname">
    <w:name w:val="zreport name"/>
    <w:basedOn w:val="Normal"/>
    <w:rsid w:val="00C063DE"/>
    <w:pPr>
      <w:keepLines/>
      <w:framePr w:w="4536" w:wrap="around" w:vAnchor="page" w:hAnchor="page" w:xAlign="center" w:y="3993"/>
      <w:spacing w:line="440" w:lineRule="exact"/>
      <w:jc w:val="center"/>
    </w:pPr>
    <w:rPr>
      <w:noProof/>
      <w:sz w:val="36"/>
    </w:rPr>
  </w:style>
  <w:style w:type="paragraph" w:customStyle="1" w:styleId="zcontents">
    <w:name w:val="zcontents"/>
    <w:basedOn w:val="Normal"/>
    <w:rsid w:val="00C063DE"/>
    <w:pPr>
      <w:spacing w:after="260" w:line="240" w:lineRule="auto"/>
    </w:pPr>
    <w:rPr>
      <w:sz w:val="32"/>
    </w:rPr>
  </w:style>
  <w:style w:type="paragraph" w:customStyle="1" w:styleId="zcompanyname">
    <w:name w:val="zcompany name"/>
    <w:basedOn w:val="Normal"/>
    <w:rsid w:val="00C063DE"/>
    <w:pPr>
      <w:framePr w:w="4536" w:wrap="around" w:vAnchor="page" w:hAnchor="page" w:xAlign="center" w:y="3993"/>
      <w:spacing w:after="400" w:line="240" w:lineRule="auto"/>
      <w:jc w:val="center"/>
    </w:pPr>
    <w:rPr>
      <w:b/>
      <w:sz w:val="26"/>
    </w:rPr>
  </w:style>
  <w:style w:type="paragraph" w:styleId="FootnoteText">
    <w:name w:val="footnote text"/>
    <w:basedOn w:val="Normal"/>
    <w:semiHidden/>
    <w:rsid w:val="00C063DE"/>
    <w:rPr>
      <w:sz w:val="18"/>
    </w:rPr>
  </w:style>
  <w:style w:type="paragraph" w:customStyle="1" w:styleId="zreportsubtitle">
    <w:name w:val="zreport subtitle"/>
    <w:basedOn w:val="zreportname"/>
    <w:rsid w:val="00C063DE"/>
    <w:pPr>
      <w:framePr w:wrap="around"/>
      <w:spacing w:line="360" w:lineRule="exact"/>
    </w:pPr>
    <w:rPr>
      <w:sz w:val="32"/>
    </w:rPr>
  </w:style>
  <w:style w:type="paragraph" w:styleId="BodyTextIndent">
    <w:name w:val="Body Text Indent"/>
    <w:basedOn w:val="BodyText"/>
    <w:rsid w:val="00C063DE"/>
    <w:pPr>
      <w:ind w:left="340"/>
    </w:pPr>
  </w:style>
  <w:style w:type="paragraph" w:styleId="Index1">
    <w:name w:val="index 1"/>
    <w:basedOn w:val="Normal"/>
    <w:next w:val="Normal"/>
    <w:semiHidden/>
    <w:rsid w:val="00C063DE"/>
    <w:pPr>
      <w:keepNext/>
      <w:tabs>
        <w:tab w:val="right" w:pos="3750"/>
      </w:tabs>
      <w:spacing w:before="360" w:line="320" w:lineRule="exact"/>
      <w:ind w:right="851"/>
    </w:pPr>
    <w:rPr>
      <w:b/>
      <w:sz w:val="28"/>
    </w:rPr>
  </w:style>
  <w:style w:type="paragraph" w:customStyle="1" w:styleId="Graphic">
    <w:name w:val="Graphic"/>
    <w:basedOn w:val="Signature"/>
    <w:rsid w:val="00C063DE"/>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rsid w:val="00C063DE"/>
    <w:pPr>
      <w:spacing w:line="240" w:lineRule="auto"/>
    </w:pPr>
  </w:style>
  <w:style w:type="character" w:styleId="PageNumber">
    <w:name w:val="page number"/>
    <w:basedOn w:val="DefaultParagraphFont"/>
    <w:rsid w:val="00C063DE"/>
    <w:rPr>
      <w:sz w:val="22"/>
    </w:rPr>
  </w:style>
  <w:style w:type="paragraph" w:styleId="Index2">
    <w:name w:val="index 2"/>
    <w:basedOn w:val="Normal"/>
    <w:next w:val="Normal"/>
    <w:semiHidden/>
    <w:rsid w:val="00C063DE"/>
    <w:pPr>
      <w:tabs>
        <w:tab w:val="right" w:pos="3750"/>
      </w:tabs>
      <w:ind w:left="340" w:right="851"/>
    </w:pPr>
  </w:style>
  <w:style w:type="paragraph" w:customStyle="1" w:styleId="zreportaddinfo">
    <w:name w:val="zreport addinfo"/>
    <w:basedOn w:val="Normal"/>
    <w:rsid w:val="00C063DE"/>
    <w:pPr>
      <w:framePr w:wrap="around" w:hAnchor="page" w:xAlign="center" w:yAlign="bottom"/>
      <w:jc w:val="center"/>
    </w:pPr>
    <w:rPr>
      <w:noProof/>
    </w:rPr>
  </w:style>
  <w:style w:type="paragraph" w:customStyle="1" w:styleId="zreportaddinfoit">
    <w:name w:val="zreport addinfoit"/>
    <w:basedOn w:val="Normal"/>
    <w:rsid w:val="00C063DE"/>
    <w:pPr>
      <w:framePr w:wrap="around" w:hAnchor="page" w:xAlign="center" w:yAlign="bottom"/>
      <w:jc w:val="center"/>
    </w:pPr>
    <w:rPr>
      <w:i/>
    </w:rPr>
  </w:style>
  <w:style w:type="paragraph" w:customStyle="1" w:styleId="AppendixHeading">
    <w:name w:val="Appendix Heading"/>
    <w:basedOn w:val="Heading1"/>
    <w:next w:val="BodyText"/>
    <w:rsid w:val="00C063DE"/>
    <w:pPr>
      <w:outlineLvl w:val="9"/>
    </w:pPr>
  </w:style>
  <w:style w:type="character" w:styleId="Hyperlink">
    <w:name w:val="Hyperlink"/>
    <w:basedOn w:val="DefaultParagraphFont"/>
    <w:rsid w:val="00C063DE"/>
    <w:rPr>
      <w:color w:val="0000FF"/>
      <w:u w:val="single"/>
    </w:rPr>
  </w:style>
  <w:style w:type="paragraph" w:styleId="BodyTextIndent2">
    <w:name w:val="Body Text Indent 2"/>
    <w:basedOn w:val="Normal"/>
    <w:rsid w:val="00C063DE"/>
    <w:pPr>
      <w:tabs>
        <w:tab w:val="left" w:pos="851"/>
      </w:tabs>
      <w:ind w:left="426"/>
      <w:jc w:val="both"/>
    </w:pPr>
  </w:style>
  <w:style w:type="paragraph" w:styleId="BodyText2">
    <w:name w:val="Body Text 2"/>
    <w:basedOn w:val="Normal"/>
    <w:rsid w:val="00C063DE"/>
    <w:pPr>
      <w:jc w:val="both"/>
    </w:pPr>
    <w:rPr>
      <w:snapToGrid w:val="0"/>
      <w:color w:val="000000"/>
    </w:rPr>
  </w:style>
  <w:style w:type="paragraph" w:styleId="TOC5">
    <w:name w:val="toc 5"/>
    <w:basedOn w:val="Normal"/>
    <w:next w:val="Normal"/>
    <w:autoRedefine/>
    <w:semiHidden/>
    <w:rsid w:val="00C063DE"/>
    <w:pPr>
      <w:ind w:left="880"/>
    </w:pPr>
    <w:rPr>
      <w:sz w:val="18"/>
    </w:rPr>
  </w:style>
  <w:style w:type="paragraph" w:styleId="TOC6">
    <w:name w:val="toc 6"/>
    <w:basedOn w:val="Normal"/>
    <w:next w:val="Normal"/>
    <w:autoRedefine/>
    <w:semiHidden/>
    <w:rsid w:val="00C063DE"/>
    <w:pPr>
      <w:ind w:left="1100"/>
    </w:pPr>
    <w:rPr>
      <w:sz w:val="18"/>
    </w:rPr>
  </w:style>
  <w:style w:type="paragraph" w:styleId="TOC7">
    <w:name w:val="toc 7"/>
    <w:basedOn w:val="Normal"/>
    <w:next w:val="Normal"/>
    <w:autoRedefine/>
    <w:semiHidden/>
    <w:rsid w:val="00C063DE"/>
    <w:pPr>
      <w:ind w:left="1320"/>
    </w:pPr>
    <w:rPr>
      <w:sz w:val="18"/>
    </w:rPr>
  </w:style>
  <w:style w:type="paragraph" w:styleId="TOC8">
    <w:name w:val="toc 8"/>
    <w:basedOn w:val="Normal"/>
    <w:next w:val="Normal"/>
    <w:autoRedefine/>
    <w:semiHidden/>
    <w:rsid w:val="00C063DE"/>
    <w:pPr>
      <w:ind w:left="1540"/>
    </w:pPr>
    <w:rPr>
      <w:sz w:val="18"/>
    </w:rPr>
  </w:style>
  <w:style w:type="paragraph" w:styleId="TOC9">
    <w:name w:val="toc 9"/>
    <w:basedOn w:val="Normal"/>
    <w:next w:val="Normal"/>
    <w:autoRedefine/>
    <w:semiHidden/>
    <w:rsid w:val="00C063DE"/>
    <w:pPr>
      <w:ind w:left="1760"/>
    </w:pPr>
    <w:rPr>
      <w:sz w:val="18"/>
    </w:rPr>
  </w:style>
  <w:style w:type="paragraph" w:customStyle="1" w:styleId="block">
    <w:name w:val="block"/>
    <w:aliases w:val="b"/>
    <w:basedOn w:val="Normal"/>
    <w:rsid w:val="00C063DE"/>
    <w:pPr>
      <w:spacing w:after="240"/>
      <w:ind w:left="709"/>
    </w:pPr>
    <w:rPr>
      <w:sz w:val="24"/>
    </w:rPr>
  </w:style>
  <w:style w:type="paragraph" w:customStyle="1" w:styleId="list1">
    <w:name w:val="list 1"/>
    <w:aliases w:val="1"/>
    <w:basedOn w:val="Normal"/>
    <w:rsid w:val="00C063DE"/>
    <w:pPr>
      <w:spacing w:after="240"/>
      <w:ind w:left="709" w:hanging="709"/>
    </w:pPr>
    <w:rPr>
      <w:sz w:val="24"/>
    </w:rPr>
  </w:style>
  <w:style w:type="paragraph" w:customStyle="1" w:styleId="unformatted">
    <w:name w:val="unformatted"/>
    <w:aliases w:val="u"/>
    <w:basedOn w:val="Normal"/>
    <w:rsid w:val="00C063DE"/>
    <w:pPr>
      <w:spacing w:line="240" w:lineRule="auto"/>
    </w:pPr>
    <w:rPr>
      <w:sz w:val="24"/>
    </w:rPr>
  </w:style>
  <w:style w:type="paragraph" w:styleId="MacroText">
    <w:name w:val="macro"/>
    <w:semiHidden/>
    <w:rsid w:val="00C063D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lang w:eastAsia="en-US"/>
    </w:rPr>
  </w:style>
  <w:style w:type="paragraph" w:styleId="BodyText3">
    <w:name w:val="Body Text 3"/>
    <w:basedOn w:val="Normal"/>
    <w:rsid w:val="00C063DE"/>
    <w:pPr>
      <w:jc w:val="both"/>
    </w:pPr>
    <w:rPr>
      <w:i/>
      <w:snapToGrid w:val="0"/>
      <w:color w:val="000000"/>
      <w:u w:val="single"/>
    </w:rPr>
  </w:style>
  <w:style w:type="paragraph" w:customStyle="1" w:styleId="L1">
    <w:name w:val="L1"/>
    <w:basedOn w:val="Normal"/>
    <w:rsid w:val="00C063DE"/>
    <w:pPr>
      <w:keepLines/>
      <w:spacing w:before="240" w:line="240" w:lineRule="auto"/>
      <w:ind w:left="567" w:right="563"/>
    </w:pPr>
    <w:rPr>
      <w:rFonts w:ascii="Times" w:hAnsi="Times"/>
      <w:sz w:val="24"/>
    </w:rPr>
  </w:style>
  <w:style w:type="paragraph" w:customStyle="1" w:styleId="DefaultText">
    <w:name w:val="Default Text"/>
    <w:basedOn w:val="Normal"/>
    <w:rsid w:val="00C063DE"/>
    <w:pPr>
      <w:spacing w:line="240" w:lineRule="auto"/>
      <w:jc w:val="both"/>
    </w:pPr>
    <w:rPr>
      <w:noProof/>
      <w:sz w:val="24"/>
    </w:rPr>
  </w:style>
  <w:style w:type="paragraph" w:customStyle="1" w:styleId="xl24">
    <w:name w:val="xl24"/>
    <w:basedOn w:val="Normal"/>
    <w:rsid w:val="00C063DE"/>
    <w:pPr>
      <w:spacing w:before="100" w:beforeAutospacing="1" w:after="100" w:afterAutospacing="1" w:line="240" w:lineRule="auto"/>
    </w:pPr>
    <w:rPr>
      <w:rFonts w:cs="Arial"/>
      <w:b/>
      <w:bCs/>
      <w:sz w:val="24"/>
      <w:szCs w:val="24"/>
    </w:rPr>
  </w:style>
  <w:style w:type="paragraph" w:customStyle="1" w:styleId="xl25">
    <w:name w:val="xl25"/>
    <w:basedOn w:val="Normal"/>
    <w:rsid w:val="00C063DE"/>
    <w:pPr>
      <w:spacing w:before="100" w:beforeAutospacing="1" w:after="100" w:afterAutospacing="1" w:line="240" w:lineRule="auto"/>
      <w:jc w:val="center"/>
    </w:pPr>
    <w:rPr>
      <w:rFonts w:cs="Arial"/>
      <w:b/>
      <w:bCs/>
      <w:sz w:val="24"/>
      <w:szCs w:val="24"/>
    </w:rPr>
  </w:style>
  <w:style w:type="paragraph" w:customStyle="1" w:styleId="xl27">
    <w:name w:val="xl27"/>
    <w:basedOn w:val="Normal"/>
    <w:rsid w:val="00C063DE"/>
    <w:pPr>
      <w:pBdr>
        <w:bottom w:val="single" w:sz="4" w:space="0" w:color="auto"/>
      </w:pBdr>
      <w:spacing w:before="100" w:beforeAutospacing="1" w:after="100" w:afterAutospacing="1" w:line="240" w:lineRule="auto"/>
    </w:pPr>
    <w:rPr>
      <w:sz w:val="24"/>
      <w:szCs w:val="24"/>
    </w:rPr>
  </w:style>
  <w:style w:type="paragraph" w:customStyle="1" w:styleId="xl28">
    <w:name w:val="xl28"/>
    <w:basedOn w:val="Normal"/>
    <w:rsid w:val="00C063DE"/>
    <w:pPr>
      <w:pBdr>
        <w:bottom w:val="double" w:sz="6" w:space="0" w:color="auto"/>
      </w:pBdr>
      <w:spacing w:before="100" w:beforeAutospacing="1" w:after="100" w:afterAutospacing="1" w:line="240" w:lineRule="auto"/>
    </w:pPr>
    <w:rPr>
      <w:sz w:val="24"/>
      <w:szCs w:val="24"/>
    </w:rPr>
  </w:style>
  <w:style w:type="paragraph" w:customStyle="1" w:styleId="xl31">
    <w:name w:val="xl31"/>
    <w:basedOn w:val="Normal"/>
    <w:rsid w:val="00C063DE"/>
    <w:pPr>
      <w:pBdr>
        <w:bottom w:val="single" w:sz="4" w:space="0" w:color="auto"/>
      </w:pBdr>
      <w:spacing w:before="100" w:beforeAutospacing="1" w:after="100" w:afterAutospacing="1" w:line="240" w:lineRule="auto"/>
    </w:pPr>
    <w:rPr>
      <w:sz w:val="24"/>
      <w:szCs w:val="24"/>
    </w:rPr>
  </w:style>
  <w:style w:type="paragraph" w:customStyle="1" w:styleId="xl32">
    <w:name w:val="xl32"/>
    <w:basedOn w:val="Normal"/>
    <w:rsid w:val="00C063DE"/>
    <w:pPr>
      <w:pBdr>
        <w:bottom w:val="double" w:sz="6" w:space="0" w:color="auto"/>
      </w:pBdr>
      <w:spacing w:before="100" w:beforeAutospacing="1" w:after="100" w:afterAutospacing="1" w:line="240" w:lineRule="auto"/>
    </w:pPr>
    <w:rPr>
      <w:sz w:val="24"/>
      <w:szCs w:val="24"/>
    </w:rPr>
  </w:style>
  <w:style w:type="paragraph" w:customStyle="1" w:styleId="TableText">
    <w:name w:val="Table Text"/>
    <w:basedOn w:val="Normal"/>
    <w:rsid w:val="00C063DE"/>
    <w:pPr>
      <w:tabs>
        <w:tab w:val="decimal" w:pos="0"/>
      </w:tabs>
      <w:spacing w:line="240" w:lineRule="auto"/>
    </w:pPr>
    <w:rPr>
      <w:noProof/>
      <w:sz w:val="24"/>
    </w:rPr>
  </w:style>
  <w:style w:type="paragraph" w:styleId="Caption">
    <w:name w:val="caption"/>
    <w:basedOn w:val="Normal"/>
    <w:next w:val="Normal"/>
    <w:qFormat/>
    <w:rsid w:val="00C063DE"/>
    <w:rPr>
      <w:rFonts w:cs="Arial"/>
      <w:b/>
      <w:bCs/>
      <w:i/>
      <w:iCs/>
    </w:rPr>
  </w:style>
  <w:style w:type="paragraph" w:styleId="BodyTextIndent3">
    <w:name w:val="Body Text Indent 3"/>
    <w:basedOn w:val="Normal"/>
    <w:rsid w:val="00C063DE"/>
    <w:pPr>
      <w:ind w:left="567"/>
      <w:jc w:val="both"/>
    </w:pPr>
    <w:rPr>
      <w:rFonts w:cs="Arial"/>
    </w:rPr>
  </w:style>
  <w:style w:type="character" w:styleId="FollowedHyperlink">
    <w:name w:val="FollowedHyperlink"/>
    <w:basedOn w:val="DefaultParagraphFont"/>
    <w:rsid w:val="00C063DE"/>
    <w:rPr>
      <w:color w:val="800080"/>
      <w:u w:val="single"/>
    </w:rPr>
  </w:style>
  <w:style w:type="paragraph" w:customStyle="1" w:styleId="Style1">
    <w:name w:val="Style1"/>
    <w:basedOn w:val="Normal"/>
    <w:autoRedefine/>
    <w:rsid w:val="00C063DE"/>
    <w:pPr>
      <w:numPr>
        <w:numId w:val="4"/>
      </w:numPr>
      <w:tabs>
        <w:tab w:val="clear" w:pos="1440"/>
      </w:tabs>
      <w:spacing w:after="120" w:line="240" w:lineRule="auto"/>
      <w:ind w:left="1800" w:hanging="540"/>
      <w:jc w:val="both"/>
    </w:pPr>
    <w:rPr>
      <w:szCs w:val="24"/>
    </w:rPr>
  </w:style>
  <w:style w:type="paragraph" w:customStyle="1" w:styleId="Style2">
    <w:name w:val="Style2"/>
    <w:basedOn w:val="Style1"/>
    <w:rsid w:val="00C063DE"/>
    <w:pPr>
      <w:numPr>
        <w:numId w:val="0"/>
      </w:numPr>
      <w:ind w:left="1080"/>
    </w:pPr>
  </w:style>
  <w:style w:type="paragraph" w:styleId="BalloonText">
    <w:name w:val="Balloon Text"/>
    <w:basedOn w:val="Normal"/>
    <w:semiHidden/>
    <w:rsid w:val="00B97136"/>
    <w:rPr>
      <w:rFonts w:ascii="Tahoma" w:hAnsi="Tahoma" w:cs="Tahoma"/>
      <w:sz w:val="16"/>
      <w:szCs w:val="16"/>
    </w:rPr>
  </w:style>
  <w:style w:type="paragraph" w:styleId="ListParagraph">
    <w:name w:val="List Paragraph"/>
    <w:basedOn w:val="Normal"/>
    <w:uiPriority w:val="34"/>
    <w:qFormat/>
    <w:rsid w:val="0074278B"/>
    <w:pPr>
      <w:ind w:left="720"/>
    </w:pPr>
  </w:style>
  <w:style w:type="table" w:styleId="TableGrid">
    <w:name w:val="Table Grid"/>
    <w:basedOn w:val="TableNormal"/>
    <w:rsid w:val="002D4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dy">
    <w:name w:val="Table - body"/>
    <w:basedOn w:val="Normal"/>
    <w:rsid w:val="00433D6B"/>
    <w:pPr>
      <w:overflowPunct w:val="0"/>
      <w:autoSpaceDE w:val="0"/>
      <w:autoSpaceDN w:val="0"/>
      <w:adjustRightInd w:val="0"/>
      <w:spacing w:before="60" w:after="60" w:line="240" w:lineRule="auto"/>
      <w:textAlignment w:val="baseline"/>
    </w:pPr>
    <w:rPr>
      <w:rFonts w:ascii="Verdana" w:hAnsi="Verdana"/>
    </w:rPr>
  </w:style>
  <w:style w:type="paragraph" w:styleId="Revision">
    <w:name w:val="Revision"/>
    <w:hidden/>
    <w:uiPriority w:val="99"/>
    <w:semiHidden/>
    <w:rsid w:val="00917BBB"/>
    <w:rPr>
      <w:rFonts w:ascii="Times New Roman" w:hAnsi="Times New Roman"/>
      <w:sz w:val="22"/>
      <w:lang w:eastAsia="en-US"/>
    </w:rPr>
  </w:style>
  <w:style w:type="character" w:styleId="CommentReference">
    <w:name w:val="annotation reference"/>
    <w:basedOn w:val="DefaultParagraphFont"/>
    <w:rsid w:val="002C0206"/>
    <w:rPr>
      <w:sz w:val="16"/>
      <w:szCs w:val="16"/>
    </w:rPr>
  </w:style>
  <w:style w:type="paragraph" w:styleId="CommentText">
    <w:name w:val="annotation text"/>
    <w:basedOn w:val="Normal"/>
    <w:link w:val="CommentTextChar"/>
    <w:rsid w:val="006E6B50"/>
    <w:pPr>
      <w:spacing w:line="240" w:lineRule="auto"/>
    </w:pPr>
  </w:style>
  <w:style w:type="character" w:customStyle="1" w:styleId="CommentTextChar">
    <w:name w:val="Comment Text Char"/>
    <w:basedOn w:val="DefaultParagraphFont"/>
    <w:link w:val="CommentText"/>
    <w:rsid w:val="006E6B50"/>
    <w:rPr>
      <w:rFonts w:ascii="Arial" w:hAnsi="Arial"/>
      <w:lang w:eastAsia="en-US"/>
    </w:rPr>
  </w:style>
  <w:style w:type="paragraph" w:styleId="CommentSubject">
    <w:name w:val="annotation subject"/>
    <w:basedOn w:val="CommentText"/>
    <w:next w:val="CommentText"/>
    <w:link w:val="CommentSubjectChar"/>
    <w:rsid w:val="002C0206"/>
    <w:rPr>
      <w:b/>
      <w:bCs/>
    </w:rPr>
  </w:style>
  <w:style w:type="character" w:customStyle="1" w:styleId="CommentSubjectChar">
    <w:name w:val="Comment Subject Char"/>
    <w:basedOn w:val="CommentTextChar"/>
    <w:link w:val="CommentSubject"/>
    <w:rsid w:val="002C0206"/>
    <w:rPr>
      <w:b/>
      <w:bCs/>
    </w:rPr>
  </w:style>
</w:styles>
</file>

<file path=word/webSettings.xml><?xml version="1.0" encoding="utf-8"?>
<w:webSettings xmlns:r="http://schemas.openxmlformats.org/officeDocument/2006/relationships" xmlns:w="http://schemas.openxmlformats.org/wordprocessingml/2006/main">
  <w:divs>
    <w:div w:id="394620419">
      <w:bodyDiv w:val="1"/>
      <w:marLeft w:val="0"/>
      <w:marRight w:val="0"/>
      <w:marTop w:val="0"/>
      <w:marBottom w:val="0"/>
      <w:divBdr>
        <w:top w:val="none" w:sz="0" w:space="0" w:color="auto"/>
        <w:left w:val="none" w:sz="0" w:space="0" w:color="auto"/>
        <w:bottom w:val="none" w:sz="0" w:space="0" w:color="auto"/>
        <w:right w:val="none" w:sz="0" w:space="0" w:color="auto"/>
      </w:divBdr>
    </w:div>
    <w:div w:id="646279758">
      <w:bodyDiv w:val="1"/>
      <w:marLeft w:val="0"/>
      <w:marRight w:val="0"/>
      <w:marTop w:val="0"/>
      <w:marBottom w:val="0"/>
      <w:divBdr>
        <w:top w:val="none" w:sz="0" w:space="0" w:color="auto"/>
        <w:left w:val="none" w:sz="0" w:space="0" w:color="auto"/>
        <w:bottom w:val="none" w:sz="0" w:space="0" w:color="auto"/>
        <w:right w:val="none" w:sz="0" w:space="0" w:color="auto"/>
      </w:divBdr>
    </w:div>
    <w:div w:id="745961812">
      <w:bodyDiv w:val="1"/>
      <w:marLeft w:val="0"/>
      <w:marRight w:val="0"/>
      <w:marTop w:val="0"/>
      <w:marBottom w:val="0"/>
      <w:divBdr>
        <w:top w:val="none" w:sz="0" w:space="0" w:color="auto"/>
        <w:left w:val="none" w:sz="0" w:space="0" w:color="auto"/>
        <w:bottom w:val="none" w:sz="0" w:space="0" w:color="auto"/>
        <w:right w:val="none" w:sz="0" w:space="0" w:color="auto"/>
      </w:divBdr>
    </w:div>
    <w:div w:id="803818686">
      <w:bodyDiv w:val="1"/>
      <w:marLeft w:val="0"/>
      <w:marRight w:val="0"/>
      <w:marTop w:val="0"/>
      <w:marBottom w:val="0"/>
      <w:divBdr>
        <w:top w:val="none" w:sz="0" w:space="0" w:color="auto"/>
        <w:left w:val="none" w:sz="0" w:space="0" w:color="auto"/>
        <w:bottom w:val="none" w:sz="0" w:space="0" w:color="auto"/>
        <w:right w:val="none" w:sz="0" w:space="0" w:color="auto"/>
      </w:divBdr>
    </w:div>
    <w:div w:id="1173296586">
      <w:bodyDiv w:val="1"/>
      <w:marLeft w:val="0"/>
      <w:marRight w:val="0"/>
      <w:marTop w:val="0"/>
      <w:marBottom w:val="0"/>
      <w:divBdr>
        <w:top w:val="none" w:sz="0" w:space="0" w:color="auto"/>
        <w:left w:val="none" w:sz="0" w:space="0" w:color="auto"/>
        <w:bottom w:val="none" w:sz="0" w:space="0" w:color="auto"/>
        <w:right w:val="none" w:sz="0" w:space="0" w:color="auto"/>
      </w:divBdr>
    </w:div>
    <w:div w:id="1216351468">
      <w:bodyDiv w:val="1"/>
      <w:marLeft w:val="0"/>
      <w:marRight w:val="0"/>
      <w:marTop w:val="0"/>
      <w:marBottom w:val="0"/>
      <w:divBdr>
        <w:top w:val="none" w:sz="0" w:space="0" w:color="auto"/>
        <w:left w:val="none" w:sz="0" w:space="0" w:color="auto"/>
        <w:bottom w:val="none" w:sz="0" w:space="0" w:color="auto"/>
        <w:right w:val="none" w:sz="0" w:space="0" w:color="auto"/>
      </w:divBdr>
    </w:div>
    <w:div w:id="1245262736">
      <w:bodyDiv w:val="1"/>
      <w:marLeft w:val="0"/>
      <w:marRight w:val="0"/>
      <w:marTop w:val="0"/>
      <w:marBottom w:val="0"/>
      <w:divBdr>
        <w:top w:val="none" w:sz="0" w:space="0" w:color="auto"/>
        <w:left w:val="none" w:sz="0" w:space="0" w:color="auto"/>
        <w:bottom w:val="none" w:sz="0" w:space="0" w:color="auto"/>
        <w:right w:val="none" w:sz="0" w:space="0" w:color="auto"/>
      </w:divBdr>
    </w:div>
    <w:div w:id="1251816055">
      <w:bodyDiv w:val="1"/>
      <w:marLeft w:val="0"/>
      <w:marRight w:val="0"/>
      <w:marTop w:val="0"/>
      <w:marBottom w:val="0"/>
      <w:divBdr>
        <w:top w:val="none" w:sz="0" w:space="0" w:color="auto"/>
        <w:left w:val="none" w:sz="0" w:space="0" w:color="auto"/>
        <w:bottom w:val="none" w:sz="0" w:space="0" w:color="auto"/>
        <w:right w:val="none" w:sz="0" w:space="0" w:color="auto"/>
      </w:divBdr>
    </w:div>
    <w:div w:id="1753549655">
      <w:bodyDiv w:val="1"/>
      <w:marLeft w:val="0"/>
      <w:marRight w:val="0"/>
      <w:marTop w:val="0"/>
      <w:marBottom w:val="0"/>
      <w:divBdr>
        <w:top w:val="none" w:sz="0" w:space="0" w:color="auto"/>
        <w:left w:val="none" w:sz="0" w:space="0" w:color="auto"/>
        <w:bottom w:val="none" w:sz="0" w:space="0" w:color="auto"/>
        <w:right w:val="none" w:sz="0" w:space="0" w:color="auto"/>
      </w:divBdr>
    </w:div>
    <w:div w:id="20157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KPMG\Template\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112F6-D795-444D-AA54-71D72739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TotalTime>
  <Pages>20</Pages>
  <Words>5955</Words>
  <Characters>32681</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Report for Mayne Nickless Limited</vt:lpstr>
    </vt:vector>
  </TitlesOfParts>
  <Company>Moore Stephens Melbourne</Company>
  <LinksUpToDate>false</LinksUpToDate>
  <CharactersWithSpaces>38559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Percentage Allocation (Phase 3 Report)</dc:title>
  <dc:subject>Report</dc:subject>
  <dc:creator>AHPRA</dc:creator>
  <cp:lastModifiedBy>gmeade</cp:lastModifiedBy>
  <cp:revision>2</cp:revision>
  <cp:lastPrinted>2013-02-12T04:38:00Z</cp:lastPrinted>
  <dcterms:created xsi:type="dcterms:W3CDTF">2013-07-16T04:08:00Z</dcterms:created>
  <dcterms:modified xsi:type="dcterms:W3CDTF">2013-07-16T04:08:00Z</dcterms:modified>
</cp:coreProperties>
</file>