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09" w:rsidRPr="00634998" w:rsidRDefault="00461130" w:rsidP="00461130">
      <w:pPr>
        <w:pStyle w:val="AHPRADocumenttitle"/>
        <w:tabs>
          <w:tab w:val="left" w:pos="6328"/>
        </w:tabs>
        <w:rPr>
          <w:noProof/>
          <w:vertAlign w:val="subscript"/>
          <w:lang w:val="en-GB" w:eastAsia="en-GB"/>
        </w:rPr>
      </w:pPr>
      <w:bookmarkStart w:id="0" w:name="_Toc265699857"/>
      <w:r>
        <w:rPr>
          <w:noProof/>
          <w:vertAlign w:val="subscript"/>
          <w:lang w:eastAsia="en-AU"/>
        </w:rPr>
        <w:drawing>
          <wp:anchor distT="0" distB="0" distL="114300" distR="114300" simplePos="0" relativeHeight="251659264" behindDoc="0" locked="0" layoutInCell="1" allowOverlap="1">
            <wp:simplePos x="0" y="0"/>
            <wp:positionH relativeFrom="page">
              <wp:posOffset>3079750</wp:posOffset>
            </wp:positionH>
            <wp:positionV relativeFrom="page">
              <wp:posOffset>440055</wp:posOffset>
            </wp:positionV>
            <wp:extent cx="3611880" cy="1494790"/>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8"/>
                    <a:stretch>
                      <a:fillRect/>
                    </a:stretch>
                  </pic:blipFill>
                  <pic:spPr>
                    <a:xfrm>
                      <a:off x="0" y="0"/>
                      <a:ext cx="3611880" cy="1494790"/>
                    </a:xfrm>
                    <a:prstGeom prst="rect">
                      <a:avLst/>
                    </a:prstGeom>
                  </pic:spPr>
                </pic:pic>
              </a:graphicData>
            </a:graphic>
          </wp:anchor>
        </w:drawing>
      </w:r>
      <w:r>
        <w:rPr>
          <w:noProof/>
          <w:vertAlign w:val="subscript"/>
          <w:lang w:val="en-GB" w:eastAsia="en-GB"/>
        </w:rPr>
        <w:tab/>
      </w:r>
    </w:p>
    <w:p w:rsidR="00811E5F" w:rsidRDefault="00811E5F" w:rsidP="004A48C2">
      <w:pPr>
        <w:pStyle w:val="AHPRAbody"/>
        <w:rPr>
          <w:color w:val="00BCFF"/>
          <w:sz w:val="32"/>
          <w:szCs w:val="32"/>
        </w:rPr>
      </w:pPr>
    </w:p>
    <w:p w:rsidR="00811E5F" w:rsidRDefault="00811E5F" w:rsidP="004A48C2">
      <w:pPr>
        <w:pStyle w:val="AHPRAbody"/>
        <w:rPr>
          <w:color w:val="00BCFF"/>
          <w:sz w:val="32"/>
          <w:szCs w:val="32"/>
        </w:rPr>
      </w:pPr>
    </w:p>
    <w:p w:rsidR="00811E5F" w:rsidRDefault="00811E5F" w:rsidP="004A48C2">
      <w:pPr>
        <w:pStyle w:val="AHPRAbody"/>
        <w:rPr>
          <w:color w:val="00BCFF"/>
          <w:sz w:val="32"/>
          <w:szCs w:val="32"/>
        </w:rPr>
      </w:pPr>
    </w:p>
    <w:p w:rsidR="00811E5F" w:rsidRDefault="00811E5F" w:rsidP="004A48C2">
      <w:pPr>
        <w:pStyle w:val="AHPRAbody"/>
        <w:rPr>
          <w:color w:val="00BCFF"/>
          <w:sz w:val="32"/>
          <w:szCs w:val="32"/>
        </w:rPr>
      </w:pPr>
    </w:p>
    <w:p w:rsidR="00C3795C" w:rsidRPr="004A48C2" w:rsidRDefault="00A56409" w:rsidP="004A48C2">
      <w:pPr>
        <w:pStyle w:val="AHPRAbody"/>
        <w:rPr>
          <w:color w:val="00BCFF"/>
          <w:sz w:val="32"/>
          <w:szCs w:val="32"/>
        </w:rPr>
      </w:pPr>
      <w:bookmarkStart w:id="1" w:name="_GoBack"/>
      <w:r w:rsidRPr="004A48C2">
        <w:rPr>
          <w:color w:val="00BCFF"/>
          <w:sz w:val="32"/>
          <w:szCs w:val="32"/>
        </w:rPr>
        <w:t xml:space="preserve">International criminal history </w:t>
      </w:r>
      <w:r w:rsidR="00991386" w:rsidRPr="004A48C2">
        <w:rPr>
          <w:color w:val="00BCFF"/>
          <w:sz w:val="32"/>
          <w:szCs w:val="32"/>
        </w:rPr>
        <w:t>checks</w:t>
      </w:r>
      <w:bookmarkEnd w:id="0"/>
      <w:r w:rsidR="00E52F0D" w:rsidRPr="004A48C2">
        <w:rPr>
          <w:color w:val="00BCFF"/>
          <w:sz w:val="32"/>
          <w:szCs w:val="32"/>
        </w:rPr>
        <w:br/>
      </w:r>
      <w:r w:rsidR="0047310E">
        <w:rPr>
          <w:color w:val="00BCFF"/>
          <w:sz w:val="32"/>
          <w:szCs w:val="32"/>
        </w:rPr>
        <w:t>Consultation report</w:t>
      </w:r>
    </w:p>
    <w:bookmarkEnd w:id="1"/>
    <w:p w:rsidR="00C35DE1" w:rsidRDefault="008A15B1" w:rsidP="00C3795C">
      <w:pPr>
        <w:pStyle w:val="AHPRAbody"/>
      </w:pPr>
      <w:r>
        <w:t>November</w:t>
      </w:r>
      <w:r w:rsidR="007908D3">
        <w:t xml:space="preserve"> </w:t>
      </w:r>
      <w:r w:rsidR="00991386">
        <w:t>2014</w:t>
      </w:r>
    </w:p>
    <w:p w:rsidR="00E52F0D" w:rsidRDefault="00E52F0D" w:rsidP="00E52F0D">
      <w:pPr>
        <w:pStyle w:val="AHPRAHeadline"/>
      </w:pPr>
    </w:p>
    <w:p w:rsidR="00E52F0D" w:rsidRDefault="00E52F0D" w:rsidP="00E52F0D">
      <w:pPr>
        <w:pStyle w:val="AHPRAHeadline"/>
      </w:pPr>
    </w:p>
    <w:p w:rsidR="007710B6" w:rsidRDefault="007710B6">
      <w:pPr>
        <w:spacing w:after="0"/>
        <w:rPr>
          <w:rFonts w:cs="Arial"/>
          <w:color w:val="00BCFF"/>
          <w:sz w:val="32"/>
          <w:szCs w:val="32"/>
        </w:rPr>
      </w:pPr>
      <w:r>
        <w:rPr>
          <w:color w:val="00BCFF"/>
          <w:sz w:val="32"/>
          <w:szCs w:val="32"/>
        </w:rPr>
        <w:br w:type="page"/>
      </w:r>
    </w:p>
    <w:p w:rsidR="0037447E" w:rsidRPr="004A48C2" w:rsidRDefault="0037447E" w:rsidP="004A48C2">
      <w:pPr>
        <w:pStyle w:val="AHPRAbody"/>
        <w:rPr>
          <w:color w:val="00BCFF"/>
          <w:sz w:val="32"/>
          <w:szCs w:val="32"/>
        </w:rPr>
      </w:pPr>
      <w:r w:rsidRPr="004A48C2">
        <w:rPr>
          <w:color w:val="00BCFF"/>
          <w:sz w:val="32"/>
          <w:szCs w:val="32"/>
        </w:rPr>
        <w:lastRenderedPageBreak/>
        <w:t>Contents</w:t>
      </w:r>
    </w:p>
    <w:p w:rsidR="002569F7" w:rsidRDefault="00F454DE">
      <w:pPr>
        <w:pStyle w:val="TOC1"/>
        <w:rPr>
          <w:rFonts w:asciiTheme="minorHAnsi" w:eastAsiaTheme="minorEastAsia" w:hAnsiTheme="minorHAnsi" w:cstheme="minorBidi"/>
          <w:b w:val="0"/>
          <w:color w:val="auto"/>
          <w:sz w:val="22"/>
          <w:szCs w:val="22"/>
          <w:lang w:eastAsia="en-AU"/>
        </w:rPr>
      </w:pPr>
      <w:r w:rsidRPr="004A48C2">
        <w:rPr>
          <w:b w:val="0"/>
          <w:color w:val="00BCFF"/>
        </w:rPr>
        <w:fldChar w:fldCharType="begin"/>
      </w:r>
      <w:r w:rsidR="00E52F0D" w:rsidRPr="004A48C2">
        <w:rPr>
          <w:b w:val="0"/>
          <w:color w:val="00BCFF"/>
        </w:rPr>
        <w:instrText xml:space="preserve"> TOC \o "1-7" \h \z \u </w:instrText>
      </w:r>
      <w:r w:rsidRPr="004A48C2">
        <w:rPr>
          <w:b w:val="0"/>
          <w:color w:val="00BCFF"/>
        </w:rPr>
        <w:fldChar w:fldCharType="separate"/>
      </w:r>
      <w:hyperlink w:anchor="_Toc400025693" w:history="1">
        <w:r w:rsidR="002569F7" w:rsidRPr="006D2F24">
          <w:rPr>
            <w:rStyle w:val="Hyperlink"/>
            <w:lang w:val="en-GB" w:eastAsia="en-GB"/>
          </w:rPr>
          <w:t>Introduction</w:t>
        </w:r>
        <w:r w:rsidR="002569F7">
          <w:rPr>
            <w:webHidden/>
          </w:rPr>
          <w:tab/>
        </w:r>
        <w:r>
          <w:rPr>
            <w:webHidden/>
          </w:rPr>
          <w:fldChar w:fldCharType="begin"/>
        </w:r>
        <w:r w:rsidR="002569F7">
          <w:rPr>
            <w:webHidden/>
          </w:rPr>
          <w:instrText xml:space="preserve"> PAGEREF _Toc400025693 \h </w:instrText>
        </w:r>
        <w:r>
          <w:rPr>
            <w:webHidden/>
          </w:rPr>
        </w:r>
        <w:r>
          <w:rPr>
            <w:webHidden/>
          </w:rPr>
          <w:fldChar w:fldCharType="separate"/>
        </w:r>
        <w:r w:rsidR="002569F7">
          <w:rPr>
            <w:webHidden/>
          </w:rPr>
          <w:t>3</w:t>
        </w:r>
        <w:r>
          <w:rPr>
            <w:webHidden/>
          </w:rPr>
          <w:fldChar w:fldCharType="end"/>
        </w:r>
      </w:hyperlink>
    </w:p>
    <w:p w:rsidR="002569F7" w:rsidRDefault="009802B1">
      <w:pPr>
        <w:pStyle w:val="TOC1"/>
        <w:rPr>
          <w:rFonts w:asciiTheme="minorHAnsi" w:eastAsiaTheme="minorEastAsia" w:hAnsiTheme="minorHAnsi" w:cstheme="minorBidi"/>
          <w:b w:val="0"/>
          <w:color w:val="auto"/>
          <w:sz w:val="22"/>
          <w:szCs w:val="22"/>
          <w:lang w:eastAsia="en-AU"/>
        </w:rPr>
      </w:pPr>
      <w:hyperlink w:anchor="_Toc400025694" w:history="1">
        <w:r w:rsidR="002569F7" w:rsidRPr="006D2F24">
          <w:rPr>
            <w:rStyle w:val="Hyperlink"/>
            <w:lang w:val="en-GB" w:eastAsia="en-GB"/>
          </w:rPr>
          <w:t>Previous consultation on international criminal history checks</w:t>
        </w:r>
        <w:r w:rsidR="002569F7">
          <w:rPr>
            <w:webHidden/>
          </w:rPr>
          <w:tab/>
        </w:r>
        <w:r w:rsidR="00F454DE">
          <w:rPr>
            <w:webHidden/>
          </w:rPr>
          <w:fldChar w:fldCharType="begin"/>
        </w:r>
        <w:r w:rsidR="002569F7">
          <w:rPr>
            <w:webHidden/>
          </w:rPr>
          <w:instrText xml:space="preserve"> PAGEREF _Toc400025694 \h </w:instrText>
        </w:r>
        <w:r w:rsidR="00F454DE">
          <w:rPr>
            <w:webHidden/>
          </w:rPr>
        </w:r>
        <w:r w:rsidR="00F454DE">
          <w:rPr>
            <w:webHidden/>
          </w:rPr>
          <w:fldChar w:fldCharType="separate"/>
        </w:r>
        <w:r w:rsidR="002569F7">
          <w:rPr>
            <w:webHidden/>
          </w:rPr>
          <w:t>4</w:t>
        </w:r>
        <w:r w:rsidR="00F454DE">
          <w:rPr>
            <w:webHidden/>
          </w:rPr>
          <w:fldChar w:fldCharType="end"/>
        </w:r>
      </w:hyperlink>
    </w:p>
    <w:p w:rsidR="002569F7" w:rsidRDefault="009802B1">
      <w:pPr>
        <w:pStyle w:val="TOC1"/>
        <w:rPr>
          <w:rFonts w:asciiTheme="minorHAnsi" w:eastAsiaTheme="minorEastAsia" w:hAnsiTheme="minorHAnsi" w:cstheme="minorBidi"/>
          <w:b w:val="0"/>
          <w:color w:val="auto"/>
          <w:sz w:val="22"/>
          <w:szCs w:val="22"/>
          <w:lang w:eastAsia="en-AU"/>
        </w:rPr>
      </w:pPr>
      <w:hyperlink w:anchor="_Toc400025695" w:history="1">
        <w:r w:rsidR="002569F7" w:rsidRPr="006D2F24">
          <w:rPr>
            <w:rStyle w:val="Hyperlink"/>
            <w:lang w:val="en-GB" w:eastAsia="en-GB"/>
          </w:rPr>
          <w:t>2013 public consultation</w:t>
        </w:r>
        <w:r w:rsidR="002569F7">
          <w:rPr>
            <w:webHidden/>
          </w:rPr>
          <w:tab/>
        </w:r>
        <w:r w:rsidR="00F454DE">
          <w:rPr>
            <w:webHidden/>
          </w:rPr>
          <w:fldChar w:fldCharType="begin"/>
        </w:r>
        <w:r w:rsidR="002569F7">
          <w:rPr>
            <w:webHidden/>
          </w:rPr>
          <w:instrText xml:space="preserve"> PAGEREF _Toc400025695 \h </w:instrText>
        </w:r>
        <w:r w:rsidR="00F454DE">
          <w:rPr>
            <w:webHidden/>
          </w:rPr>
        </w:r>
        <w:r w:rsidR="00F454DE">
          <w:rPr>
            <w:webHidden/>
          </w:rPr>
          <w:fldChar w:fldCharType="separate"/>
        </w:r>
        <w:r w:rsidR="002569F7">
          <w:rPr>
            <w:webHidden/>
          </w:rPr>
          <w:t>5</w:t>
        </w:r>
        <w:r w:rsidR="00F454DE">
          <w:rPr>
            <w:webHidden/>
          </w:rPr>
          <w:fldChar w:fldCharType="end"/>
        </w:r>
      </w:hyperlink>
    </w:p>
    <w:p w:rsidR="002569F7" w:rsidRDefault="009802B1">
      <w:pPr>
        <w:pStyle w:val="TOC1"/>
        <w:rPr>
          <w:rFonts w:asciiTheme="minorHAnsi" w:eastAsiaTheme="minorEastAsia" w:hAnsiTheme="minorHAnsi" w:cstheme="minorBidi"/>
          <w:b w:val="0"/>
          <w:color w:val="auto"/>
          <w:sz w:val="22"/>
          <w:szCs w:val="22"/>
          <w:lang w:eastAsia="en-AU"/>
        </w:rPr>
      </w:pPr>
      <w:hyperlink w:anchor="_Toc400025696" w:history="1">
        <w:r w:rsidR="002569F7" w:rsidRPr="006D2F24">
          <w:rPr>
            <w:rStyle w:val="Hyperlink"/>
            <w:lang w:val="en-GB" w:eastAsia="en-GB"/>
          </w:rPr>
          <w:t>Overview and results</w:t>
        </w:r>
        <w:r w:rsidR="002569F7">
          <w:rPr>
            <w:webHidden/>
          </w:rPr>
          <w:tab/>
        </w:r>
        <w:r w:rsidR="00F454DE">
          <w:rPr>
            <w:webHidden/>
          </w:rPr>
          <w:fldChar w:fldCharType="begin"/>
        </w:r>
        <w:r w:rsidR="002569F7">
          <w:rPr>
            <w:webHidden/>
          </w:rPr>
          <w:instrText xml:space="preserve"> PAGEREF _Toc400025696 \h </w:instrText>
        </w:r>
        <w:r w:rsidR="00F454DE">
          <w:rPr>
            <w:webHidden/>
          </w:rPr>
        </w:r>
        <w:r w:rsidR="00F454DE">
          <w:rPr>
            <w:webHidden/>
          </w:rPr>
          <w:fldChar w:fldCharType="separate"/>
        </w:r>
        <w:r w:rsidR="002569F7">
          <w:rPr>
            <w:webHidden/>
          </w:rPr>
          <w:t>6</w:t>
        </w:r>
        <w:r w:rsidR="00F454DE">
          <w:rPr>
            <w:webHidden/>
          </w:rPr>
          <w:fldChar w:fldCharType="end"/>
        </w:r>
      </w:hyperlink>
    </w:p>
    <w:p w:rsidR="002569F7" w:rsidRDefault="009802B1">
      <w:pPr>
        <w:pStyle w:val="TOC1"/>
        <w:rPr>
          <w:rFonts w:asciiTheme="minorHAnsi" w:eastAsiaTheme="minorEastAsia" w:hAnsiTheme="minorHAnsi" w:cstheme="minorBidi"/>
          <w:b w:val="0"/>
          <w:color w:val="auto"/>
          <w:sz w:val="22"/>
          <w:szCs w:val="22"/>
          <w:lang w:eastAsia="en-AU"/>
        </w:rPr>
      </w:pPr>
      <w:hyperlink w:anchor="_Toc400025697" w:history="1">
        <w:r w:rsidR="002569F7" w:rsidRPr="006D2F24">
          <w:rPr>
            <w:rStyle w:val="Hyperlink"/>
            <w:lang w:val="en-GB" w:eastAsia="en-GB"/>
          </w:rPr>
          <w:t>Next steps</w:t>
        </w:r>
        <w:r w:rsidR="002569F7">
          <w:rPr>
            <w:webHidden/>
          </w:rPr>
          <w:tab/>
        </w:r>
        <w:r w:rsidR="00F454DE">
          <w:rPr>
            <w:webHidden/>
          </w:rPr>
          <w:fldChar w:fldCharType="begin"/>
        </w:r>
        <w:r w:rsidR="002569F7">
          <w:rPr>
            <w:webHidden/>
          </w:rPr>
          <w:instrText xml:space="preserve"> PAGEREF _Toc400025697 \h </w:instrText>
        </w:r>
        <w:r w:rsidR="00F454DE">
          <w:rPr>
            <w:webHidden/>
          </w:rPr>
        </w:r>
        <w:r w:rsidR="00F454DE">
          <w:rPr>
            <w:webHidden/>
          </w:rPr>
          <w:fldChar w:fldCharType="separate"/>
        </w:r>
        <w:r w:rsidR="002569F7">
          <w:rPr>
            <w:webHidden/>
          </w:rPr>
          <w:t>10</w:t>
        </w:r>
        <w:r w:rsidR="00F454DE">
          <w:rPr>
            <w:webHidden/>
          </w:rPr>
          <w:fldChar w:fldCharType="end"/>
        </w:r>
      </w:hyperlink>
    </w:p>
    <w:p w:rsidR="002569F7" w:rsidRDefault="009802B1">
      <w:pPr>
        <w:pStyle w:val="TOC1"/>
        <w:rPr>
          <w:rFonts w:asciiTheme="minorHAnsi" w:eastAsiaTheme="minorEastAsia" w:hAnsiTheme="minorHAnsi" w:cstheme="minorBidi"/>
          <w:b w:val="0"/>
          <w:color w:val="auto"/>
          <w:sz w:val="22"/>
          <w:szCs w:val="22"/>
          <w:lang w:eastAsia="en-AU"/>
        </w:rPr>
      </w:pPr>
      <w:hyperlink w:anchor="_Toc400025698" w:history="1">
        <w:r w:rsidR="002569F7" w:rsidRPr="006D2F24">
          <w:rPr>
            <w:rStyle w:val="Hyperlink"/>
            <w:lang w:val="en-GB" w:eastAsia="en-GB"/>
          </w:rPr>
          <w:t>Attachment 1 – Consultation at AHPRA</w:t>
        </w:r>
        <w:r w:rsidR="002569F7">
          <w:rPr>
            <w:webHidden/>
          </w:rPr>
          <w:tab/>
        </w:r>
        <w:r w:rsidR="00F454DE">
          <w:rPr>
            <w:webHidden/>
          </w:rPr>
          <w:fldChar w:fldCharType="begin"/>
        </w:r>
        <w:r w:rsidR="002569F7">
          <w:rPr>
            <w:webHidden/>
          </w:rPr>
          <w:instrText xml:space="preserve"> PAGEREF _Toc400025698 \h </w:instrText>
        </w:r>
        <w:r w:rsidR="00F454DE">
          <w:rPr>
            <w:webHidden/>
          </w:rPr>
        </w:r>
        <w:r w:rsidR="00F454DE">
          <w:rPr>
            <w:webHidden/>
          </w:rPr>
          <w:fldChar w:fldCharType="separate"/>
        </w:r>
        <w:r w:rsidR="002569F7">
          <w:rPr>
            <w:webHidden/>
          </w:rPr>
          <w:t>11</w:t>
        </w:r>
        <w:r w:rsidR="00F454DE">
          <w:rPr>
            <w:webHidden/>
          </w:rPr>
          <w:fldChar w:fldCharType="end"/>
        </w:r>
      </w:hyperlink>
    </w:p>
    <w:p w:rsidR="00771F3F" w:rsidRDefault="00F454DE" w:rsidP="00771F3F">
      <w:pPr>
        <w:spacing w:after="0"/>
      </w:pPr>
      <w:r w:rsidRPr="004A48C2">
        <w:rPr>
          <w:b/>
          <w:noProof/>
          <w:color w:val="00BCFF"/>
          <w:sz w:val="20"/>
        </w:rPr>
        <w:fldChar w:fldCharType="end"/>
      </w:r>
    </w:p>
    <w:p w:rsidR="006E5B4F" w:rsidRPr="00141427" w:rsidRDefault="006E5B4F" w:rsidP="00634998">
      <w:pPr>
        <w:pStyle w:val="AHPRAbody"/>
        <w:rPr>
          <w:rFonts w:asciiTheme="minorHAnsi" w:hAnsiTheme="minorHAnsi"/>
        </w:rPr>
      </w:pPr>
    </w:p>
    <w:p w:rsidR="0037447E" w:rsidRDefault="0037447E" w:rsidP="0037447E">
      <w:pPr>
        <w:pStyle w:val="AHPRASubheading"/>
      </w:pPr>
    </w:p>
    <w:p w:rsidR="001410FC" w:rsidRPr="00F0687C" w:rsidRDefault="001410FC" w:rsidP="00F0687C">
      <w:pPr>
        <w:pStyle w:val="AHPRAbody"/>
      </w:pPr>
    </w:p>
    <w:p w:rsidR="004A2298" w:rsidRDefault="004A2298">
      <w:pPr>
        <w:spacing w:after="0"/>
        <w:rPr>
          <w:rFonts w:cs="Arial"/>
          <w:noProof/>
          <w:color w:val="00BCFF"/>
          <w:sz w:val="32"/>
          <w:szCs w:val="52"/>
          <w:lang w:val="en-GB" w:eastAsia="en-GB"/>
        </w:rPr>
      </w:pPr>
      <w:r>
        <w:rPr>
          <w:noProof/>
          <w:color w:val="00BCFF"/>
          <w:lang w:val="en-GB" w:eastAsia="en-GB"/>
        </w:rPr>
        <w:br w:type="page"/>
      </w:r>
    </w:p>
    <w:p w:rsidR="0037447E" w:rsidRPr="00E52F0D" w:rsidRDefault="000F5EE3" w:rsidP="00E52F0D">
      <w:pPr>
        <w:pStyle w:val="AHPRADocumenttitle"/>
        <w:rPr>
          <w:noProof/>
          <w:color w:val="00BCFF"/>
          <w:lang w:val="en-GB" w:eastAsia="en-GB"/>
        </w:rPr>
      </w:pPr>
      <w:bookmarkStart w:id="2" w:name="_Toc400025693"/>
      <w:r>
        <w:rPr>
          <w:noProof/>
          <w:color w:val="00BCFF"/>
          <w:lang w:val="en-GB" w:eastAsia="en-GB"/>
        </w:rPr>
        <w:lastRenderedPageBreak/>
        <w:t>Introduction</w:t>
      </w:r>
      <w:bookmarkEnd w:id="2"/>
    </w:p>
    <w:p w:rsidR="00BA3AE7" w:rsidRDefault="00C2496C" w:rsidP="00BA3AE7">
      <w:pPr>
        <w:pStyle w:val="AHPRAbody"/>
      </w:pPr>
      <w:r>
        <w:t xml:space="preserve">To register as a health </w:t>
      </w:r>
      <w:r w:rsidRPr="007E46D2">
        <w:t xml:space="preserve">practitioner </w:t>
      </w:r>
      <w:r w:rsidR="00493BE9" w:rsidRPr="00493BE9">
        <w:t xml:space="preserve">with </w:t>
      </w:r>
      <w:r w:rsidR="007E46D2">
        <w:t>the relevant National Board</w:t>
      </w:r>
      <w:r>
        <w:t xml:space="preserve">, applicants </w:t>
      </w:r>
      <w:r w:rsidR="0047310E">
        <w:t xml:space="preserve">must </w:t>
      </w:r>
      <w:r>
        <w:t xml:space="preserve">currently undergo a domestic criminal history check and make a declaration about </w:t>
      </w:r>
      <w:r w:rsidR="00F93F90">
        <w:t>any</w:t>
      </w:r>
      <w:r>
        <w:t xml:space="preserve"> </w:t>
      </w:r>
      <w:r w:rsidR="0047310E">
        <w:t xml:space="preserve">overseas </w:t>
      </w:r>
      <w:r>
        <w:t xml:space="preserve">criminal history. </w:t>
      </w:r>
      <w:r w:rsidR="00BA3AE7">
        <w:t>T</w:t>
      </w:r>
      <w:r>
        <w:t xml:space="preserve">he </w:t>
      </w:r>
      <w:r w:rsidR="0047310E">
        <w:t>approach to</w:t>
      </w:r>
      <w:r>
        <w:t xml:space="preserve"> international criminal history checks has been under review</w:t>
      </w:r>
      <w:r w:rsidR="00BA3AE7">
        <w:t xml:space="preserve"> with the aim of </w:t>
      </w:r>
      <w:r w:rsidR="00BA3AE7">
        <w:rPr>
          <w:szCs w:val="20"/>
        </w:rPr>
        <w:t>strengthening the current approach</w:t>
      </w:r>
      <w:r w:rsidR="00461130">
        <w:rPr>
          <w:szCs w:val="20"/>
        </w:rPr>
        <w:t>,</w:t>
      </w:r>
      <w:r w:rsidR="009A03B8">
        <w:rPr>
          <w:szCs w:val="20"/>
        </w:rPr>
        <w:t xml:space="preserve"> and</w:t>
      </w:r>
      <w:r w:rsidR="00461130">
        <w:rPr>
          <w:szCs w:val="20"/>
        </w:rPr>
        <w:t xml:space="preserve"> </w:t>
      </w:r>
      <w:r w:rsidR="00461130" w:rsidRPr="00C45EEB">
        <w:rPr>
          <w:szCs w:val="20"/>
        </w:rPr>
        <w:t xml:space="preserve">ensuring consistency with the objectives and guiding principles of the National Law, </w:t>
      </w:r>
      <w:r w:rsidR="00BA3AE7" w:rsidRPr="00C45EEB">
        <w:rPr>
          <w:szCs w:val="20"/>
        </w:rPr>
        <w:t>whil</w:t>
      </w:r>
      <w:r w:rsidR="00461130" w:rsidRPr="00C45EEB">
        <w:rPr>
          <w:szCs w:val="20"/>
        </w:rPr>
        <w:t>st</w:t>
      </w:r>
      <w:r w:rsidR="00BA3AE7" w:rsidRPr="00C45EEB">
        <w:rPr>
          <w:szCs w:val="20"/>
        </w:rPr>
        <w:t xml:space="preserve"> avoiding unnecessary delays to </w:t>
      </w:r>
      <w:r w:rsidR="00461130" w:rsidRPr="00C45EEB">
        <w:rPr>
          <w:szCs w:val="20"/>
        </w:rPr>
        <w:t>registration</w:t>
      </w:r>
      <w:r w:rsidR="00BA3AE7" w:rsidRPr="00C45EEB">
        <w:rPr>
          <w:szCs w:val="20"/>
        </w:rPr>
        <w:t>.</w:t>
      </w:r>
      <w:r w:rsidR="00BA3AE7">
        <w:t xml:space="preserve"> </w:t>
      </w:r>
    </w:p>
    <w:p w:rsidR="00934C8C" w:rsidRDefault="0047310E" w:rsidP="00F0687C">
      <w:pPr>
        <w:pStyle w:val="AHPRAbody"/>
      </w:pPr>
      <w:r>
        <w:t>I</w:t>
      </w:r>
      <w:r w:rsidR="001410FC">
        <w:t xml:space="preserve">nitial consultation on </w:t>
      </w:r>
      <w:r>
        <w:t xml:space="preserve">National Boards’ and </w:t>
      </w:r>
      <w:r w:rsidR="00BE6406">
        <w:t xml:space="preserve">AHPRA’s approach to </w:t>
      </w:r>
      <w:r w:rsidR="001410FC">
        <w:t xml:space="preserve">international criminal history checks took place in </w:t>
      </w:r>
      <w:r>
        <w:t xml:space="preserve">2011 and </w:t>
      </w:r>
      <w:r w:rsidR="001410FC">
        <w:t>2012. The initial public consultation</w:t>
      </w:r>
      <w:r>
        <w:t xml:space="preserve"> in May 2012</w:t>
      </w:r>
      <w:r w:rsidR="001410FC">
        <w:t xml:space="preserve"> asked stakeholders to consider </w:t>
      </w:r>
      <w:r w:rsidR="009C503C">
        <w:t>four</w:t>
      </w:r>
      <w:r w:rsidR="001410FC">
        <w:t xml:space="preserve"> options</w:t>
      </w:r>
      <w:r w:rsidR="009C503C">
        <w:t xml:space="preserve"> on international criminal history checks. </w:t>
      </w:r>
      <w:r w:rsidR="00F21A27">
        <w:t>From the 68</w:t>
      </w:r>
      <w:r w:rsidR="00BE6406">
        <w:t xml:space="preserve"> external submissions received, feedback was mixed. </w:t>
      </w:r>
    </w:p>
    <w:p w:rsidR="001410FC" w:rsidRDefault="00BE6406" w:rsidP="00F0687C">
      <w:pPr>
        <w:pStyle w:val="AHPRAbody"/>
      </w:pPr>
      <w:r>
        <w:t>A</w:t>
      </w:r>
      <w:r w:rsidR="00722CD6">
        <w:t xml:space="preserve"> fifth option, where an external provider would conduct international criminal history checks,</w:t>
      </w:r>
      <w:r w:rsidR="00D673DF">
        <w:t xml:space="preserve"> was</w:t>
      </w:r>
      <w:r w:rsidR="00722CD6">
        <w:t xml:space="preserve"> </w:t>
      </w:r>
      <w:r>
        <w:t xml:space="preserve">then </w:t>
      </w:r>
      <w:r w:rsidR="00D673DF">
        <w:t>developed to address issues raised in the consultations</w:t>
      </w:r>
      <w:r w:rsidR="00E92703">
        <w:t xml:space="preserve">. </w:t>
      </w:r>
      <w:r w:rsidR="009A03B8">
        <w:t>The new option</w:t>
      </w:r>
      <w:r w:rsidR="00E92703">
        <w:t xml:space="preserve"> </w:t>
      </w:r>
      <w:r w:rsidR="009C503C">
        <w:t xml:space="preserve">was considered </w:t>
      </w:r>
      <w:r w:rsidR="00D673DF">
        <w:t>the best available</w:t>
      </w:r>
      <w:r w:rsidR="009A03B8">
        <w:t xml:space="preserve"> approach</w:t>
      </w:r>
      <w:r w:rsidR="00EE6A23">
        <w:t>. This</w:t>
      </w:r>
      <w:r>
        <w:t xml:space="preserve"> report presents</w:t>
      </w:r>
      <w:r w:rsidR="00F57675">
        <w:t xml:space="preserve"> the</w:t>
      </w:r>
      <w:r>
        <w:t xml:space="preserve"> findings from </w:t>
      </w:r>
      <w:r w:rsidR="0047310E">
        <w:t xml:space="preserve">further </w:t>
      </w:r>
      <w:r>
        <w:t>public consultation</w:t>
      </w:r>
      <w:r w:rsidR="009D2762" w:rsidRPr="009D2762">
        <w:t xml:space="preserve"> </w:t>
      </w:r>
      <w:r w:rsidR="009D2762">
        <w:t>on option</w:t>
      </w:r>
      <w:r w:rsidR="009A03B8">
        <w:t xml:space="preserve"> 5</w:t>
      </w:r>
      <w:r w:rsidR="00EE6A23">
        <w:t xml:space="preserve"> in October 2013</w:t>
      </w:r>
      <w:r w:rsidR="009D2762">
        <w:t>.</w:t>
      </w:r>
    </w:p>
    <w:p w:rsidR="00682925" w:rsidRDefault="00CF6B3A" w:rsidP="00F0687C">
      <w:pPr>
        <w:pStyle w:val="AHPRAbody"/>
      </w:pPr>
      <w:r>
        <w:t xml:space="preserve">This </w:t>
      </w:r>
      <w:r w:rsidR="00435F51">
        <w:t xml:space="preserve">consultation received </w:t>
      </w:r>
      <w:r w:rsidR="00BE6406">
        <w:t xml:space="preserve">60 </w:t>
      </w:r>
      <w:r w:rsidR="00722CD6">
        <w:t xml:space="preserve">written </w:t>
      </w:r>
      <w:r w:rsidR="00BE6406">
        <w:t>submissions</w:t>
      </w:r>
      <w:r w:rsidR="00722CD6">
        <w:t>, with the majority support</w:t>
      </w:r>
      <w:r w:rsidR="0047310E">
        <w:t>ing</w:t>
      </w:r>
      <w:r w:rsidR="00722CD6">
        <w:t xml:space="preserve"> option</w:t>
      </w:r>
      <w:r w:rsidR="009A03B8">
        <w:t xml:space="preserve"> 5</w:t>
      </w:r>
      <w:r w:rsidR="00722CD6">
        <w:t xml:space="preserve">. </w:t>
      </w:r>
      <w:r>
        <w:t xml:space="preserve">The </w:t>
      </w:r>
      <w:r w:rsidR="00F57675">
        <w:t xml:space="preserve">feedback, and </w:t>
      </w:r>
      <w:r w:rsidR="0047310E">
        <w:t xml:space="preserve">the </w:t>
      </w:r>
      <w:r w:rsidR="00F57675">
        <w:t xml:space="preserve">response to it, is summarised in this report. </w:t>
      </w:r>
      <w:r w:rsidR="0047310E">
        <w:t>The</w:t>
      </w:r>
      <w:r w:rsidR="00F57675">
        <w:t xml:space="preserve"> submissions </w:t>
      </w:r>
      <w:r w:rsidR="00461130" w:rsidRPr="00C45EEB">
        <w:t xml:space="preserve">have </w:t>
      </w:r>
      <w:r w:rsidR="00F57675" w:rsidRPr="00C45EEB">
        <w:t>be</w:t>
      </w:r>
      <w:r w:rsidR="00461130" w:rsidRPr="00C45EEB">
        <w:t>en</w:t>
      </w:r>
      <w:r w:rsidR="00F57675">
        <w:t xml:space="preserve"> published </w:t>
      </w:r>
      <w:hyperlink r:id="rId9" w:history="1">
        <w:r w:rsidR="00F57675" w:rsidRPr="007908D3">
          <w:rPr>
            <w:rStyle w:val="Hyperlink"/>
          </w:rPr>
          <w:t>online</w:t>
        </w:r>
      </w:hyperlink>
      <w:r w:rsidR="00F57675">
        <w:t xml:space="preserve"> (except where the respondent has </w:t>
      </w:r>
      <w:r w:rsidR="009C037A">
        <w:t xml:space="preserve">requested </w:t>
      </w:r>
      <w:r w:rsidR="00F57675">
        <w:t xml:space="preserve">that their response is not </w:t>
      </w:r>
      <w:r w:rsidR="009C037A">
        <w:t>published</w:t>
      </w:r>
      <w:r w:rsidR="00F57675">
        <w:t>).</w:t>
      </w:r>
      <w:r w:rsidR="00682925">
        <w:t xml:space="preserve"> </w:t>
      </w:r>
    </w:p>
    <w:p w:rsidR="00306430" w:rsidRDefault="00F57675" w:rsidP="001456F8">
      <w:pPr>
        <w:pStyle w:val="AHPRAbodyContextparanumbered"/>
        <w:numPr>
          <w:ilvl w:val="0"/>
          <w:numId w:val="0"/>
        </w:numPr>
      </w:pPr>
      <w:r>
        <w:t>In line with the</w:t>
      </w:r>
      <w:r w:rsidR="00E92703">
        <w:t xml:space="preserve"> feedback from this consultation, </w:t>
      </w:r>
      <w:r w:rsidR="001456F8">
        <w:t>option 5 will be piloted for a 12</w:t>
      </w:r>
      <w:r w:rsidR="0046413F">
        <w:t>-</w:t>
      </w:r>
      <w:r w:rsidR="001456F8">
        <w:t xml:space="preserve">month period </w:t>
      </w:r>
      <w:r w:rsidR="009C037A">
        <w:t>from early 2015</w:t>
      </w:r>
      <w:r w:rsidR="007F577F">
        <w:t xml:space="preserve">, </w:t>
      </w:r>
      <w:r w:rsidR="001456F8">
        <w:t xml:space="preserve">followed by an evaluation </w:t>
      </w:r>
      <w:r w:rsidR="00C24FA6">
        <w:t>of</w:t>
      </w:r>
      <w:r w:rsidR="001456F8">
        <w:t xml:space="preserve"> how the</w:t>
      </w:r>
      <w:r w:rsidR="0046413F">
        <w:t xml:space="preserve"> </w:t>
      </w:r>
      <w:r w:rsidR="001456F8">
        <w:t xml:space="preserve">option </w:t>
      </w:r>
      <w:r w:rsidR="00C24FA6">
        <w:t>has worked</w:t>
      </w:r>
      <w:r w:rsidR="001456F8">
        <w:t xml:space="preserve"> in practice.</w:t>
      </w:r>
      <w:r w:rsidR="00C24FA6">
        <w:t xml:space="preserve"> As supported by </w:t>
      </w:r>
      <w:r w:rsidR="0047310E">
        <w:t>most</w:t>
      </w:r>
      <w:r w:rsidR="00C24FA6">
        <w:t xml:space="preserve"> </w:t>
      </w:r>
      <w:r w:rsidR="0047310E">
        <w:t>submissions</w:t>
      </w:r>
      <w:r w:rsidR="00C24FA6">
        <w:t>, i</w:t>
      </w:r>
      <w:r w:rsidR="001456F8">
        <w:t xml:space="preserve">nternational criminal history checks will be conducted for </w:t>
      </w:r>
      <w:r w:rsidR="001456F8" w:rsidRPr="0087616E">
        <w:t xml:space="preserve">countries where an applicant has resided for </w:t>
      </w:r>
      <w:r w:rsidR="00435F51">
        <w:t>six</w:t>
      </w:r>
      <w:r w:rsidR="001456F8" w:rsidRPr="0087616E">
        <w:t xml:space="preserve"> months or mor</w:t>
      </w:r>
      <w:r w:rsidR="001456F8">
        <w:t>e</w:t>
      </w:r>
      <w:r w:rsidR="00A342A5">
        <w:t xml:space="preserve"> from the age of 18 onwards</w:t>
      </w:r>
      <w:r w:rsidR="00020471">
        <w:t xml:space="preserve">. </w:t>
      </w:r>
    </w:p>
    <w:p w:rsidR="00AB4640" w:rsidRDefault="001E78A9" w:rsidP="001456F8">
      <w:pPr>
        <w:pStyle w:val="AHPRAbodyContextparanumbered"/>
        <w:numPr>
          <w:ilvl w:val="0"/>
          <w:numId w:val="0"/>
        </w:numPr>
      </w:pPr>
      <w:r>
        <w:t xml:space="preserve">Applicants for registration will </w:t>
      </w:r>
      <w:r w:rsidR="00020471">
        <w:t>still</w:t>
      </w:r>
      <w:r>
        <w:t xml:space="preserve"> undergo a domestic criminal history check</w:t>
      </w:r>
      <w:r w:rsidR="00020471">
        <w:t xml:space="preserve"> and </w:t>
      </w:r>
      <w:r w:rsidR="00F10D19">
        <w:t xml:space="preserve">AHPRA will </w:t>
      </w:r>
      <w:r w:rsidR="0047310E">
        <w:t xml:space="preserve">also </w:t>
      </w:r>
      <w:r w:rsidR="00F10D19">
        <w:t>undertake</w:t>
      </w:r>
      <w:r w:rsidR="0065562C">
        <w:t xml:space="preserve"> </w:t>
      </w:r>
      <w:r w:rsidR="0047310E">
        <w:t xml:space="preserve">international </w:t>
      </w:r>
      <w:r w:rsidR="00020471">
        <w:t xml:space="preserve">criminal history checks </w:t>
      </w:r>
      <w:r w:rsidR="0046413F">
        <w:t>when</w:t>
      </w:r>
      <w:r w:rsidR="007B4C68">
        <w:t>ever</w:t>
      </w:r>
      <w:r w:rsidR="00F10D19">
        <w:t xml:space="preserve"> registered health practitioners </w:t>
      </w:r>
      <w:r w:rsidR="00020471">
        <w:t xml:space="preserve">declare a criminal </w:t>
      </w:r>
      <w:r w:rsidR="00BE198E">
        <w:t>history</w:t>
      </w:r>
      <w:r w:rsidR="0047310E">
        <w:t xml:space="preserve"> regardless of how long the practitioner has resided in the relevant country</w:t>
      </w:r>
      <w:r w:rsidR="00BE198E">
        <w:t xml:space="preserve">. </w:t>
      </w:r>
      <w:r w:rsidR="00AB4640">
        <w:t xml:space="preserve">The pilot approach will also </w:t>
      </w:r>
      <w:r w:rsidR="0047310E">
        <w:t xml:space="preserve">provide an opportunity to address </w:t>
      </w:r>
      <w:r w:rsidR="00AB4640" w:rsidRPr="00C45EEB">
        <w:t xml:space="preserve">issues </w:t>
      </w:r>
      <w:r w:rsidR="003F12E4" w:rsidRPr="00C45EEB">
        <w:t xml:space="preserve">raised </w:t>
      </w:r>
      <w:r w:rsidR="00461130" w:rsidRPr="00C45EEB">
        <w:t>during</w:t>
      </w:r>
      <w:r w:rsidR="003F12E4" w:rsidRPr="00C45EEB">
        <w:t xml:space="preserve"> consultation</w:t>
      </w:r>
      <w:r w:rsidR="00F6650E" w:rsidRPr="00C45EEB">
        <w:t>.</w:t>
      </w:r>
    </w:p>
    <w:p w:rsidR="001456F8" w:rsidRPr="00B45091" w:rsidRDefault="00306430" w:rsidP="001456F8">
      <w:pPr>
        <w:pStyle w:val="AHPRAbody"/>
        <w:rPr>
          <w:szCs w:val="20"/>
        </w:rPr>
      </w:pPr>
      <w:r>
        <w:t xml:space="preserve">The National Boards and </w:t>
      </w:r>
      <w:r w:rsidR="001456F8">
        <w:t xml:space="preserve">AHPRA will </w:t>
      </w:r>
      <w:r w:rsidR="00AB4640">
        <w:t xml:space="preserve">now </w:t>
      </w:r>
      <w:r w:rsidR="001456F8">
        <w:t xml:space="preserve">work to implement </w:t>
      </w:r>
      <w:r w:rsidR="00AB4640">
        <w:t>the</w:t>
      </w:r>
      <w:r w:rsidR="001456F8">
        <w:t xml:space="preserve"> pilot approach</w:t>
      </w:r>
      <w:r w:rsidR="00AB4640">
        <w:t xml:space="preserve"> to this option</w:t>
      </w:r>
      <w:r>
        <w:t xml:space="preserve">. </w:t>
      </w:r>
      <w:r w:rsidR="0047310E">
        <w:t>The implementation work will include a</w:t>
      </w:r>
      <w:r w:rsidR="00F6650E">
        <w:t>n</w:t>
      </w:r>
      <w:r>
        <w:t xml:space="preserve"> information campaign to ensure that health practitioners, the public and other </w:t>
      </w:r>
      <w:r w:rsidRPr="00B45091">
        <w:rPr>
          <w:szCs w:val="20"/>
        </w:rPr>
        <w:t xml:space="preserve">stakeholders understand the </w:t>
      </w:r>
      <w:r w:rsidR="00F6650E" w:rsidRPr="00B45091">
        <w:rPr>
          <w:szCs w:val="20"/>
        </w:rPr>
        <w:t>pilot</w:t>
      </w:r>
      <w:r w:rsidRPr="00B45091">
        <w:rPr>
          <w:szCs w:val="20"/>
        </w:rPr>
        <w:t xml:space="preserve"> approach.</w:t>
      </w:r>
    </w:p>
    <w:p w:rsidR="000F16FA" w:rsidRDefault="000F5EE3" w:rsidP="000F16FA">
      <w:pPr>
        <w:rPr>
          <w:rFonts w:cs="Arial"/>
          <w:sz w:val="20"/>
          <w:szCs w:val="20"/>
        </w:rPr>
      </w:pPr>
      <w:r w:rsidRPr="00493BE9">
        <w:rPr>
          <w:sz w:val="20"/>
          <w:szCs w:val="20"/>
        </w:rPr>
        <w:t>AHPRA and the National Boards are grateful to all who contributed their feedback to this consultation</w:t>
      </w:r>
      <w:r w:rsidR="0047310E">
        <w:rPr>
          <w:sz w:val="20"/>
          <w:szCs w:val="20"/>
        </w:rPr>
        <w:t xml:space="preserve"> </w:t>
      </w:r>
      <w:r w:rsidR="0047310E" w:rsidRPr="00461130">
        <w:rPr>
          <w:sz w:val="20"/>
          <w:szCs w:val="20"/>
        </w:rPr>
        <w:t xml:space="preserve">(see published responses at </w:t>
      </w:r>
      <w:hyperlink r:id="rId10" w:history="1">
        <w:r w:rsidR="000F16FA">
          <w:rPr>
            <w:rStyle w:val="Hyperlink"/>
            <w:rFonts w:cs="Arial"/>
            <w:sz w:val="20"/>
            <w:szCs w:val="20"/>
          </w:rPr>
          <w:t>http://www.ahpra.gov.au/News/Consultations/Past-Consultations.aspx</w:t>
        </w:r>
      </w:hyperlink>
      <w:r w:rsidR="0073789D">
        <w:t>).</w:t>
      </w:r>
    </w:p>
    <w:p w:rsidR="001456F8" w:rsidRDefault="001456F8" w:rsidP="001456F8">
      <w:pPr>
        <w:spacing w:after="0"/>
        <w:rPr>
          <w:rFonts w:cs="Arial"/>
          <w:sz w:val="20"/>
        </w:rPr>
      </w:pPr>
    </w:p>
    <w:p w:rsidR="0037447E" w:rsidRPr="004F2A16" w:rsidRDefault="007F7605" w:rsidP="007F7605">
      <w:pPr>
        <w:pStyle w:val="AHPRASubhead"/>
        <w:rPr>
          <w:rFonts w:cs="Arial"/>
          <w:noProof/>
          <w:sz w:val="32"/>
          <w:szCs w:val="52"/>
          <w:lang w:eastAsia="en-GB"/>
        </w:rPr>
      </w:pPr>
      <w:r>
        <w:rPr>
          <w:noProof/>
          <w:lang w:eastAsia="en-GB"/>
        </w:rPr>
        <w:t>The current process for i</w:t>
      </w:r>
      <w:r w:rsidR="004F2A16">
        <w:rPr>
          <w:noProof/>
          <w:lang w:eastAsia="en-GB"/>
        </w:rPr>
        <w:t xml:space="preserve">nternational criminal history checks </w:t>
      </w:r>
    </w:p>
    <w:p w:rsidR="002B7AC3" w:rsidRDefault="002B7AC3" w:rsidP="002B7AC3">
      <w:pPr>
        <w:rPr>
          <w:rFonts w:cs="Arial"/>
          <w:sz w:val="20"/>
          <w:szCs w:val="20"/>
        </w:rPr>
      </w:pPr>
      <w:r>
        <w:rPr>
          <w:rFonts w:cs="Arial"/>
          <w:sz w:val="20"/>
          <w:szCs w:val="20"/>
        </w:rPr>
        <w:t>When a practitioner first applies for registration, the National Boards’</w:t>
      </w:r>
      <w:r w:rsidRPr="00DF23F4">
        <w:rPr>
          <w:rFonts w:cs="Arial"/>
          <w:sz w:val="20"/>
          <w:szCs w:val="20"/>
        </w:rPr>
        <w:t xml:space="preserve"> </w:t>
      </w:r>
      <w:r>
        <w:rPr>
          <w:rFonts w:cs="Arial"/>
          <w:sz w:val="20"/>
          <w:szCs w:val="20"/>
        </w:rPr>
        <w:t>current process for checking their criminal history is to:</w:t>
      </w:r>
    </w:p>
    <w:p w:rsidR="002B7AC3" w:rsidRDefault="000A0B7D" w:rsidP="00FB4322">
      <w:pPr>
        <w:pStyle w:val="ListParagraph"/>
        <w:numPr>
          <w:ilvl w:val="0"/>
          <w:numId w:val="15"/>
        </w:numPr>
        <w:spacing w:before="120"/>
        <w:rPr>
          <w:rFonts w:cs="Arial"/>
          <w:sz w:val="20"/>
          <w:szCs w:val="20"/>
        </w:rPr>
      </w:pPr>
      <w:r>
        <w:rPr>
          <w:rFonts w:cs="Arial"/>
          <w:sz w:val="20"/>
          <w:szCs w:val="20"/>
        </w:rPr>
        <w:t>conduct</w:t>
      </w:r>
      <w:r w:rsidR="002B7AC3" w:rsidRPr="002B7AC3">
        <w:rPr>
          <w:rFonts w:cs="Arial"/>
          <w:sz w:val="20"/>
          <w:szCs w:val="20"/>
        </w:rPr>
        <w:t xml:space="preserve"> </w:t>
      </w:r>
      <w:r w:rsidR="00F5444D">
        <w:rPr>
          <w:rFonts w:cs="Arial"/>
          <w:sz w:val="20"/>
          <w:szCs w:val="20"/>
        </w:rPr>
        <w:t>a domestic</w:t>
      </w:r>
      <w:r w:rsidR="002B7AC3" w:rsidRPr="002B7AC3">
        <w:rPr>
          <w:rFonts w:cs="Arial"/>
          <w:sz w:val="20"/>
          <w:szCs w:val="20"/>
        </w:rPr>
        <w:t xml:space="preserve"> criminal history</w:t>
      </w:r>
      <w:r w:rsidR="00F5444D">
        <w:rPr>
          <w:rFonts w:cs="Arial"/>
          <w:sz w:val="20"/>
          <w:szCs w:val="20"/>
        </w:rPr>
        <w:t xml:space="preserve"> </w:t>
      </w:r>
      <w:r>
        <w:rPr>
          <w:rFonts w:cs="Arial"/>
          <w:sz w:val="20"/>
          <w:szCs w:val="20"/>
        </w:rPr>
        <w:t>of the applicant</w:t>
      </w:r>
      <w:r w:rsidR="00F5444D">
        <w:rPr>
          <w:rFonts w:cs="Arial"/>
          <w:sz w:val="20"/>
          <w:szCs w:val="20"/>
        </w:rPr>
        <w:t xml:space="preserve"> through CrimTrac</w:t>
      </w:r>
    </w:p>
    <w:p w:rsidR="002B7AC3" w:rsidRDefault="002B7AC3" w:rsidP="00FB4322">
      <w:pPr>
        <w:pStyle w:val="ListParagraph"/>
        <w:numPr>
          <w:ilvl w:val="0"/>
          <w:numId w:val="15"/>
        </w:numPr>
        <w:spacing w:before="120"/>
        <w:rPr>
          <w:rFonts w:cs="Arial"/>
          <w:sz w:val="20"/>
          <w:szCs w:val="20"/>
        </w:rPr>
      </w:pPr>
      <w:r>
        <w:rPr>
          <w:rFonts w:cs="Arial"/>
          <w:sz w:val="20"/>
          <w:szCs w:val="20"/>
        </w:rPr>
        <w:t>requir</w:t>
      </w:r>
      <w:r w:rsidR="001C07C8">
        <w:rPr>
          <w:rFonts w:cs="Arial"/>
          <w:sz w:val="20"/>
          <w:szCs w:val="20"/>
        </w:rPr>
        <w:t>e</w:t>
      </w:r>
      <w:r>
        <w:rPr>
          <w:rFonts w:cs="Arial"/>
          <w:sz w:val="20"/>
          <w:szCs w:val="20"/>
        </w:rPr>
        <w:t xml:space="preserve"> the applica</w:t>
      </w:r>
      <w:r w:rsidR="001C07C8">
        <w:rPr>
          <w:rFonts w:cs="Arial"/>
          <w:sz w:val="20"/>
          <w:szCs w:val="20"/>
        </w:rPr>
        <w:t>nt</w:t>
      </w:r>
      <w:r>
        <w:rPr>
          <w:rFonts w:cs="Arial"/>
          <w:sz w:val="20"/>
          <w:szCs w:val="20"/>
        </w:rPr>
        <w:t xml:space="preserve"> to </w:t>
      </w:r>
      <w:r w:rsidR="00F80380">
        <w:rPr>
          <w:rFonts w:cs="Arial"/>
          <w:sz w:val="20"/>
          <w:szCs w:val="20"/>
        </w:rPr>
        <w:t>declare</w:t>
      </w:r>
      <w:r w:rsidRPr="00DF23F4">
        <w:rPr>
          <w:rFonts w:cs="Arial"/>
          <w:sz w:val="20"/>
          <w:szCs w:val="20"/>
        </w:rPr>
        <w:t xml:space="preserve"> their criminal history in all countries, including Australia. </w:t>
      </w:r>
    </w:p>
    <w:p w:rsidR="00F5444D" w:rsidRDefault="002B7AC3" w:rsidP="00FB4322">
      <w:pPr>
        <w:pStyle w:val="ListParagraph"/>
        <w:numPr>
          <w:ilvl w:val="1"/>
          <w:numId w:val="15"/>
        </w:numPr>
        <w:spacing w:before="120"/>
        <w:rPr>
          <w:rFonts w:cs="Arial"/>
          <w:sz w:val="20"/>
          <w:szCs w:val="20"/>
        </w:rPr>
      </w:pPr>
      <w:r w:rsidRPr="00DF23F4">
        <w:rPr>
          <w:rFonts w:cs="Arial"/>
          <w:sz w:val="20"/>
          <w:szCs w:val="20"/>
        </w:rPr>
        <w:t xml:space="preserve">In cases where applicants declare that they have no criminal history outside Australia; no further evidence, audit or authentication is currently required, nor sought. </w:t>
      </w:r>
    </w:p>
    <w:p w:rsidR="00F5444D" w:rsidRDefault="002B7AC3" w:rsidP="00FB4322">
      <w:pPr>
        <w:pStyle w:val="ListParagraph"/>
        <w:numPr>
          <w:ilvl w:val="1"/>
          <w:numId w:val="15"/>
        </w:numPr>
        <w:spacing w:before="120"/>
        <w:rPr>
          <w:rFonts w:cs="Arial"/>
          <w:sz w:val="20"/>
          <w:szCs w:val="20"/>
        </w:rPr>
      </w:pPr>
      <w:r w:rsidRPr="00DF23F4">
        <w:rPr>
          <w:rFonts w:cs="Arial"/>
          <w:sz w:val="20"/>
          <w:szCs w:val="20"/>
        </w:rPr>
        <w:t xml:space="preserve">In cases where applicants declare that they have a criminal history, further investigations are made and the criminal history is assessed according to the relevant Board’s </w:t>
      </w:r>
      <w:r w:rsidRPr="00DF23F4">
        <w:rPr>
          <w:rFonts w:cs="Arial"/>
          <w:i/>
          <w:sz w:val="20"/>
          <w:szCs w:val="20"/>
        </w:rPr>
        <w:t>Criminal history registration standard</w:t>
      </w:r>
      <w:r w:rsidRPr="00DF23F4">
        <w:rPr>
          <w:rFonts w:cs="Arial"/>
          <w:sz w:val="20"/>
          <w:szCs w:val="20"/>
        </w:rPr>
        <w:t>.</w:t>
      </w:r>
    </w:p>
    <w:p w:rsidR="00F5444D" w:rsidRDefault="002B7AC3">
      <w:pPr>
        <w:spacing w:before="120" w:after="120"/>
        <w:rPr>
          <w:rFonts w:cs="Arial"/>
          <w:sz w:val="20"/>
          <w:szCs w:val="20"/>
        </w:rPr>
      </w:pPr>
      <w:r>
        <w:rPr>
          <w:rFonts w:cs="Arial"/>
          <w:sz w:val="20"/>
          <w:szCs w:val="20"/>
        </w:rPr>
        <w:t>Once registered, practitioners have an obligation to:</w:t>
      </w:r>
    </w:p>
    <w:p w:rsidR="00C04FA5" w:rsidRDefault="00EC4AAB">
      <w:pPr>
        <w:pStyle w:val="ListParagraph"/>
        <w:numPr>
          <w:ilvl w:val="0"/>
          <w:numId w:val="16"/>
        </w:numPr>
        <w:spacing w:before="120" w:after="120"/>
        <w:rPr>
          <w:rFonts w:cs="Arial"/>
          <w:sz w:val="20"/>
          <w:szCs w:val="20"/>
        </w:rPr>
      </w:pPr>
      <w:r>
        <w:rPr>
          <w:rFonts w:cs="Arial"/>
          <w:sz w:val="20"/>
          <w:szCs w:val="20"/>
        </w:rPr>
        <w:t>give</w:t>
      </w:r>
      <w:r w:rsidR="00615428">
        <w:rPr>
          <w:rFonts w:cs="Arial"/>
          <w:sz w:val="20"/>
          <w:szCs w:val="20"/>
        </w:rPr>
        <w:t xml:space="preserve"> written notice</w:t>
      </w:r>
      <w:r w:rsidR="00615428" w:rsidRPr="00615428">
        <w:rPr>
          <w:rFonts w:cs="Arial"/>
          <w:sz w:val="20"/>
          <w:szCs w:val="20"/>
        </w:rPr>
        <w:t xml:space="preserve"> </w:t>
      </w:r>
      <w:r w:rsidR="00615428">
        <w:rPr>
          <w:rFonts w:cs="Arial"/>
          <w:sz w:val="20"/>
          <w:szCs w:val="20"/>
        </w:rPr>
        <w:t>to their respective</w:t>
      </w:r>
      <w:r w:rsidR="00615428" w:rsidRPr="00493BE9">
        <w:rPr>
          <w:rFonts w:cs="Arial"/>
          <w:sz w:val="20"/>
          <w:szCs w:val="20"/>
        </w:rPr>
        <w:t xml:space="preserve"> National Board</w:t>
      </w:r>
      <w:r w:rsidR="00615428">
        <w:rPr>
          <w:rFonts w:cs="Arial"/>
          <w:sz w:val="20"/>
          <w:szCs w:val="20"/>
        </w:rPr>
        <w:t xml:space="preserve"> – within 7 days after becoming aware that a relevant event has occurred – </w:t>
      </w:r>
      <w:r w:rsidR="00C779E0">
        <w:rPr>
          <w:rFonts w:cs="Arial"/>
          <w:sz w:val="20"/>
          <w:szCs w:val="20"/>
        </w:rPr>
        <w:t>of changes to their</w:t>
      </w:r>
      <w:r w:rsidR="00493BE9" w:rsidRPr="00493BE9">
        <w:rPr>
          <w:rFonts w:cs="Arial"/>
          <w:sz w:val="20"/>
          <w:szCs w:val="20"/>
        </w:rPr>
        <w:t xml:space="preserve"> criminal history</w:t>
      </w:r>
      <w:r w:rsidR="002B7AC3">
        <w:rPr>
          <w:rFonts w:cs="Arial"/>
          <w:sz w:val="20"/>
          <w:szCs w:val="20"/>
        </w:rPr>
        <w:t>, and</w:t>
      </w:r>
    </w:p>
    <w:p w:rsidR="00C04FA5" w:rsidRDefault="00EC4AAB">
      <w:pPr>
        <w:pStyle w:val="ListParagraph"/>
        <w:numPr>
          <w:ilvl w:val="0"/>
          <w:numId w:val="16"/>
        </w:numPr>
        <w:spacing w:after="0"/>
        <w:rPr>
          <w:rFonts w:cs="Arial"/>
          <w:sz w:val="20"/>
          <w:szCs w:val="20"/>
        </w:rPr>
      </w:pPr>
      <w:r>
        <w:rPr>
          <w:rFonts w:cs="Arial"/>
          <w:sz w:val="20"/>
          <w:szCs w:val="20"/>
        </w:rPr>
        <w:t xml:space="preserve">declare any changes </w:t>
      </w:r>
      <w:r w:rsidRPr="00615428">
        <w:rPr>
          <w:rFonts w:cs="Arial"/>
          <w:sz w:val="20"/>
          <w:szCs w:val="20"/>
        </w:rPr>
        <w:t>to their criminal history in Australia or overseas</w:t>
      </w:r>
      <w:r>
        <w:rPr>
          <w:rFonts w:cs="Arial"/>
          <w:sz w:val="20"/>
          <w:szCs w:val="20"/>
        </w:rPr>
        <w:t xml:space="preserve"> </w:t>
      </w:r>
      <w:r w:rsidR="00615428">
        <w:rPr>
          <w:rFonts w:cs="Arial"/>
          <w:sz w:val="20"/>
          <w:szCs w:val="20"/>
        </w:rPr>
        <w:t>when</w:t>
      </w:r>
      <w:r w:rsidR="002B7AC3">
        <w:rPr>
          <w:rFonts w:cs="Arial"/>
          <w:sz w:val="20"/>
          <w:szCs w:val="20"/>
        </w:rPr>
        <w:t xml:space="preserve"> </w:t>
      </w:r>
      <w:r>
        <w:rPr>
          <w:rFonts w:cs="Arial"/>
          <w:sz w:val="20"/>
          <w:szCs w:val="20"/>
        </w:rPr>
        <w:t>renewing</w:t>
      </w:r>
      <w:r w:rsidR="002B7AC3">
        <w:rPr>
          <w:rFonts w:cs="Arial"/>
          <w:sz w:val="20"/>
          <w:szCs w:val="20"/>
        </w:rPr>
        <w:t xml:space="preserve"> their </w:t>
      </w:r>
      <w:r w:rsidR="002B7AC3" w:rsidRPr="00615428">
        <w:rPr>
          <w:rFonts w:cs="Arial"/>
          <w:sz w:val="20"/>
          <w:szCs w:val="20"/>
        </w:rPr>
        <w:t>registration</w:t>
      </w:r>
      <w:r>
        <w:rPr>
          <w:rFonts w:cs="Arial"/>
          <w:sz w:val="20"/>
          <w:szCs w:val="20"/>
        </w:rPr>
        <w:t>.</w:t>
      </w:r>
    </w:p>
    <w:p w:rsidR="00F5444D" w:rsidRDefault="00F5444D">
      <w:pPr>
        <w:spacing w:after="0"/>
        <w:rPr>
          <w:rFonts w:cs="Arial"/>
          <w:sz w:val="20"/>
          <w:szCs w:val="20"/>
        </w:rPr>
      </w:pPr>
    </w:p>
    <w:p w:rsidR="003B7CA3" w:rsidRDefault="009A03B8" w:rsidP="00EF56F4">
      <w:pPr>
        <w:rPr>
          <w:rFonts w:cs="Arial"/>
          <w:sz w:val="20"/>
          <w:szCs w:val="20"/>
        </w:rPr>
      </w:pPr>
      <w:r>
        <w:rPr>
          <w:rFonts w:cs="Arial"/>
          <w:sz w:val="20"/>
          <w:szCs w:val="20"/>
        </w:rPr>
        <w:t>Under the National Law, a National Board may obtain a report about a registered health practitioner’s criminal history</w:t>
      </w:r>
      <w:r w:rsidRPr="009A03B8">
        <w:rPr>
          <w:rFonts w:cs="Arial"/>
          <w:sz w:val="20"/>
          <w:szCs w:val="20"/>
        </w:rPr>
        <w:t xml:space="preserve"> </w:t>
      </w:r>
      <w:r>
        <w:rPr>
          <w:rFonts w:cs="Arial"/>
          <w:sz w:val="20"/>
          <w:szCs w:val="20"/>
        </w:rPr>
        <w:t>at any time</w:t>
      </w:r>
      <w:r w:rsidR="003B7CA3">
        <w:rPr>
          <w:rFonts w:cs="Arial"/>
          <w:sz w:val="20"/>
          <w:szCs w:val="20"/>
        </w:rPr>
        <w:t xml:space="preserve">. </w:t>
      </w:r>
    </w:p>
    <w:p w:rsidR="008566FA" w:rsidRDefault="008566FA" w:rsidP="00EF56F4">
      <w:pPr>
        <w:pStyle w:val="AHPRADocumenttitle"/>
        <w:rPr>
          <w:noProof/>
          <w:color w:val="00BCFF"/>
          <w:lang w:val="en-GB" w:eastAsia="en-GB"/>
        </w:rPr>
      </w:pPr>
    </w:p>
    <w:p w:rsidR="00F5444D" w:rsidRPr="00EF56F4" w:rsidRDefault="00EF56F4" w:rsidP="00EF56F4">
      <w:pPr>
        <w:pStyle w:val="AHPRADocumenttitle"/>
        <w:rPr>
          <w:noProof/>
          <w:color w:val="00BCFF"/>
          <w:lang w:val="en-GB" w:eastAsia="en-GB"/>
        </w:rPr>
      </w:pPr>
      <w:bookmarkStart w:id="3" w:name="_Toc400025694"/>
      <w:r w:rsidRPr="00EF56F4">
        <w:rPr>
          <w:noProof/>
          <w:color w:val="00BCFF"/>
          <w:lang w:val="en-GB" w:eastAsia="en-GB"/>
        </w:rPr>
        <w:t>Previous c</w:t>
      </w:r>
      <w:r w:rsidR="002B7AC3" w:rsidRPr="00EF56F4">
        <w:rPr>
          <w:noProof/>
          <w:color w:val="00BCFF"/>
          <w:lang w:val="en-GB" w:eastAsia="en-GB"/>
        </w:rPr>
        <w:t xml:space="preserve">onsultation on </w:t>
      </w:r>
      <w:r w:rsidR="00FB4322" w:rsidRPr="00EF56F4">
        <w:rPr>
          <w:noProof/>
          <w:color w:val="00BCFF"/>
          <w:lang w:val="en-GB" w:eastAsia="en-GB"/>
        </w:rPr>
        <w:t>international criminal history checks</w:t>
      </w:r>
      <w:bookmarkEnd w:id="3"/>
    </w:p>
    <w:p w:rsidR="004F2A16" w:rsidRDefault="004F2A16" w:rsidP="004F2A16">
      <w:pPr>
        <w:spacing w:before="120" w:after="120"/>
        <w:rPr>
          <w:rFonts w:cs="Arial"/>
          <w:sz w:val="20"/>
          <w:szCs w:val="20"/>
        </w:rPr>
      </w:pPr>
      <w:r w:rsidRPr="00DF23F4">
        <w:rPr>
          <w:rFonts w:cs="Arial"/>
          <w:sz w:val="20"/>
          <w:szCs w:val="20"/>
        </w:rPr>
        <w:t xml:space="preserve">To balance the requirements for public protection with the need for responsive application and assessment processes for health practitioners seeking registration in Australia, National Boards and AHPRA have been considering possible ways to </w:t>
      </w:r>
      <w:r>
        <w:rPr>
          <w:rFonts w:cs="Arial"/>
          <w:sz w:val="20"/>
          <w:szCs w:val="20"/>
        </w:rPr>
        <w:t>strengthen</w:t>
      </w:r>
      <w:r w:rsidRPr="00DF23F4">
        <w:rPr>
          <w:rFonts w:cs="Arial"/>
          <w:sz w:val="20"/>
          <w:szCs w:val="20"/>
        </w:rPr>
        <w:t xml:space="preserve"> the </w:t>
      </w:r>
      <w:r w:rsidR="00C779E0">
        <w:rPr>
          <w:rFonts w:cs="Arial"/>
          <w:sz w:val="20"/>
          <w:szCs w:val="20"/>
        </w:rPr>
        <w:t>approach to</w:t>
      </w:r>
      <w:r w:rsidRPr="00DF23F4">
        <w:rPr>
          <w:rFonts w:cs="Arial"/>
          <w:sz w:val="20"/>
          <w:szCs w:val="20"/>
        </w:rPr>
        <w:t xml:space="preserve"> interna</w:t>
      </w:r>
      <w:r>
        <w:rPr>
          <w:rFonts w:cs="Arial"/>
          <w:sz w:val="20"/>
          <w:szCs w:val="20"/>
        </w:rPr>
        <w:t>tional criminal history checks.</w:t>
      </w:r>
    </w:p>
    <w:p w:rsidR="002B7AC3" w:rsidRDefault="00585377" w:rsidP="002B7AC3">
      <w:pPr>
        <w:pStyle w:val="AHPRAbody"/>
      </w:pPr>
      <w:r>
        <w:t xml:space="preserve">During </w:t>
      </w:r>
      <w:r w:rsidR="002B7AC3">
        <w:t xml:space="preserve">2011–13, National Boards and AHPRA conducted extensive public and targeted consultations on </w:t>
      </w:r>
      <w:r w:rsidR="00C779E0">
        <w:t>a revised approach to</w:t>
      </w:r>
      <w:r w:rsidR="002B7AC3">
        <w:t xml:space="preserve"> international criminal history checks</w:t>
      </w:r>
      <w:r w:rsidR="002B7AC3" w:rsidRPr="002547C2">
        <w:t xml:space="preserve"> </w:t>
      </w:r>
      <w:r>
        <w:t>in</w:t>
      </w:r>
      <w:r w:rsidRPr="002547C2">
        <w:t xml:space="preserve"> </w:t>
      </w:r>
      <w:r w:rsidR="002B7AC3" w:rsidRPr="002547C2">
        <w:t xml:space="preserve">applications for registration for the 14 health professions regulated under the </w:t>
      </w:r>
      <w:r w:rsidR="00A97365">
        <w:t xml:space="preserve">Health Practitioner Regulation </w:t>
      </w:r>
      <w:r w:rsidR="002B7AC3">
        <w:t>National Law</w:t>
      </w:r>
      <w:r w:rsidR="002B7AC3" w:rsidRPr="002547C2">
        <w:t>, as in force in each state and territory</w:t>
      </w:r>
      <w:r w:rsidR="00A97365">
        <w:t xml:space="preserve"> (the National Law)</w:t>
      </w:r>
      <w:r w:rsidR="002B7AC3">
        <w:t xml:space="preserve">. </w:t>
      </w:r>
    </w:p>
    <w:p w:rsidR="0045145A" w:rsidRPr="0045145A" w:rsidRDefault="002B7AC3" w:rsidP="0045145A">
      <w:pPr>
        <w:pStyle w:val="AHPRAbody"/>
      </w:pPr>
      <w:r>
        <w:t xml:space="preserve">Feedback from public consultation on the four options in May 2012 was mixed. </w:t>
      </w:r>
      <w:r w:rsidR="00A0559D">
        <w:t>In response, a</w:t>
      </w:r>
      <w:r>
        <w:t xml:space="preserve"> fifth option</w:t>
      </w:r>
      <w:r w:rsidR="00A0559D">
        <w:t xml:space="preserve"> – w</w:t>
      </w:r>
      <w:r>
        <w:t xml:space="preserve">here an external provider conducts </w:t>
      </w:r>
      <w:r w:rsidRPr="00D5710F">
        <w:t>international criminal history checks</w:t>
      </w:r>
      <w:r w:rsidR="00A0559D">
        <w:t xml:space="preserve"> – </w:t>
      </w:r>
      <w:r>
        <w:t>was</w:t>
      </w:r>
      <w:r w:rsidR="00EF1F69">
        <w:t xml:space="preserve"> </w:t>
      </w:r>
      <w:r w:rsidR="00A0559D">
        <w:t>developed</w:t>
      </w:r>
      <w:r w:rsidR="00EF1F69">
        <w:t xml:space="preserve">. </w:t>
      </w:r>
      <w:r w:rsidR="0045145A" w:rsidRPr="0045145A">
        <w:t>Features of this proposed option include:</w:t>
      </w:r>
    </w:p>
    <w:p w:rsidR="0045145A" w:rsidRPr="00C45EEB" w:rsidRDefault="0045145A" w:rsidP="0045145A">
      <w:pPr>
        <w:pStyle w:val="ListParagraph"/>
        <w:numPr>
          <w:ilvl w:val="0"/>
          <w:numId w:val="16"/>
        </w:numPr>
        <w:spacing w:before="120" w:after="120"/>
        <w:rPr>
          <w:rFonts w:cs="Arial"/>
          <w:strike/>
          <w:sz w:val="20"/>
          <w:szCs w:val="20"/>
        </w:rPr>
      </w:pPr>
      <w:r w:rsidRPr="0045145A">
        <w:rPr>
          <w:rFonts w:cs="Arial"/>
          <w:sz w:val="20"/>
          <w:szCs w:val="20"/>
        </w:rPr>
        <w:t xml:space="preserve">a user-pays approach, where the applicant </w:t>
      </w:r>
      <w:r w:rsidRPr="00C45EEB">
        <w:rPr>
          <w:rFonts w:cs="Arial"/>
          <w:sz w:val="20"/>
          <w:szCs w:val="20"/>
        </w:rPr>
        <w:t>pay</w:t>
      </w:r>
      <w:r w:rsidR="00B71ECE" w:rsidRPr="00C45EEB">
        <w:rPr>
          <w:rFonts w:cs="Arial"/>
          <w:sz w:val="20"/>
          <w:szCs w:val="20"/>
        </w:rPr>
        <w:t>s</w:t>
      </w:r>
      <w:r w:rsidRPr="00C45EEB">
        <w:rPr>
          <w:rFonts w:cs="Arial"/>
          <w:sz w:val="20"/>
          <w:szCs w:val="20"/>
        </w:rPr>
        <w:t xml:space="preserve"> for the cost of the checks </w:t>
      </w:r>
    </w:p>
    <w:p w:rsidR="0045145A" w:rsidRPr="0045145A" w:rsidRDefault="0045145A" w:rsidP="0045145A">
      <w:pPr>
        <w:pStyle w:val="ListParagraph"/>
        <w:numPr>
          <w:ilvl w:val="0"/>
          <w:numId w:val="16"/>
        </w:numPr>
        <w:spacing w:before="120" w:after="120"/>
        <w:rPr>
          <w:rFonts w:cs="Arial"/>
          <w:sz w:val="20"/>
          <w:szCs w:val="20"/>
        </w:rPr>
      </w:pPr>
      <w:r w:rsidRPr="0045145A">
        <w:rPr>
          <w:rFonts w:cs="Arial"/>
          <w:sz w:val="20"/>
          <w:szCs w:val="20"/>
        </w:rPr>
        <w:t xml:space="preserve">an international criminal history check sought post-registration, with the period between granting registration and the completion of the check covered by the applicant’s declaration about their international criminal history (provided no significant criminal history is disclosed) and a domestic criminal history check </w:t>
      </w:r>
    </w:p>
    <w:p w:rsidR="0045145A" w:rsidRPr="0045145A" w:rsidRDefault="00DD4764" w:rsidP="0045145A">
      <w:pPr>
        <w:pStyle w:val="ListParagraph"/>
        <w:numPr>
          <w:ilvl w:val="0"/>
          <w:numId w:val="16"/>
        </w:numPr>
        <w:spacing w:before="120" w:after="120"/>
        <w:rPr>
          <w:rFonts w:cs="Arial"/>
          <w:sz w:val="20"/>
          <w:szCs w:val="20"/>
        </w:rPr>
      </w:pPr>
      <w:r w:rsidRPr="007908D3">
        <w:rPr>
          <w:rFonts w:cs="Arial"/>
          <w:sz w:val="20"/>
          <w:szCs w:val="20"/>
        </w:rPr>
        <w:t xml:space="preserve">a streamlined process </w:t>
      </w:r>
      <w:r>
        <w:rPr>
          <w:rFonts w:cs="Arial"/>
          <w:sz w:val="20"/>
          <w:szCs w:val="20"/>
        </w:rPr>
        <w:t>using</w:t>
      </w:r>
      <w:r w:rsidRPr="007908D3">
        <w:rPr>
          <w:rFonts w:cs="Arial"/>
          <w:sz w:val="20"/>
          <w:szCs w:val="20"/>
        </w:rPr>
        <w:t xml:space="preserve"> an external provider which regularly obtains checks and has relationships with the relevant organisations in each country</w:t>
      </w:r>
      <w:r w:rsidR="0045145A" w:rsidRPr="0045145A">
        <w:rPr>
          <w:rFonts w:cs="Arial"/>
          <w:sz w:val="20"/>
          <w:szCs w:val="20"/>
        </w:rPr>
        <w:t>, and</w:t>
      </w:r>
    </w:p>
    <w:p w:rsidR="0045145A" w:rsidRPr="00C93B5B" w:rsidRDefault="0045145A" w:rsidP="002B7AC3">
      <w:pPr>
        <w:pStyle w:val="ListParagraph"/>
        <w:numPr>
          <w:ilvl w:val="0"/>
          <w:numId w:val="16"/>
        </w:numPr>
        <w:spacing w:before="120" w:after="120"/>
        <w:rPr>
          <w:rFonts w:cs="Arial"/>
          <w:sz w:val="20"/>
          <w:szCs w:val="20"/>
        </w:rPr>
      </w:pPr>
      <w:r w:rsidRPr="0045145A">
        <w:rPr>
          <w:rFonts w:cs="Arial"/>
          <w:sz w:val="20"/>
          <w:szCs w:val="20"/>
        </w:rPr>
        <w:t>a continuation of existing general requirements for applicants (a domestic criminal history check, a declaration about their criminal history, provision of Certificates of Registration Status or Good Standing from every jurisdiction where they have been registered).</w:t>
      </w:r>
    </w:p>
    <w:p w:rsidR="007C0DD9" w:rsidRDefault="007C0DD9" w:rsidP="002B7AC3">
      <w:pPr>
        <w:pStyle w:val="AHPRAbody"/>
      </w:pPr>
      <w:r>
        <w:t>National Boards</w:t>
      </w:r>
      <w:r w:rsidR="00A97365">
        <w:t xml:space="preserve"> and AHPRA</w:t>
      </w:r>
      <w:r>
        <w:t xml:space="preserve"> </w:t>
      </w:r>
      <w:r w:rsidR="007908D3">
        <w:t xml:space="preserve">consider that </w:t>
      </w:r>
      <w:r w:rsidR="00A97365">
        <w:t>this fifth option</w:t>
      </w:r>
      <w:r w:rsidR="006723EE">
        <w:t>:</w:t>
      </w:r>
    </w:p>
    <w:p w:rsidR="00C04FA5" w:rsidRPr="00EF56F4" w:rsidRDefault="007908D3">
      <w:pPr>
        <w:pStyle w:val="ListParagraph"/>
        <w:numPr>
          <w:ilvl w:val="0"/>
          <w:numId w:val="16"/>
        </w:numPr>
        <w:spacing w:before="120" w:after="120"/>
        <w:rPr>
          <w:rFonts w:cs="Arial"/>
          <w:sz w:val="20"/>
          <w:szCs w:val="20"/>
        </w:rPr>
      </w:pPr>
      <w:r>
        <w:rPr>
          <w:rFonts w:cs="Arial"/>
          <w:sz w:val="20"/>
          <w:szCs w:val="20"/>
        </w:rPr>
        <w:t xml:space="preserve">strikes </w:t>
      </w:r>
      <w:r w:rsidR="00A97365">
        <w:rPr>
          <w:rFonts w:cs="Arial"/>
          <w:sz w:val="20"/>
          <w:szCs w:val="20"/>
        </w:rPr>
        <w:t>a</w:t>
      </w:r>
      <w:r w:rsidR="00735D09" w:rsidRPr="007908D3">
        <w:rPr>
          <w:rFonts w:cs="Arial"/>
          <w:sz w:val="20"/>
          <w:szCs w:val="20"/>
        </w:rPr>
        <w:t xml:space="preserve"> better balance between the undertaking of comprehensive criminal history checks while not imposing unnecessary delays on an applicant’s registration</w:t>
      </w:r>
    </w:p>
    <w:p w:rsidR="00C04FA5" w:rsidRPr="00EF56F4" w:rsidRDefault="007908D3">
      <w:pPr>
        <w:pStyle w:val="ListParagraph"/>
        <w:numPr>
          <w:ilvl w:val="0"/>
          <w:numId w:val="16"/>
        </w:numPr>
        <w:spacing w:before="120" w:after="120"/>
        <w:rPr>
          <w:rFonts w:cs="Arial"/>
          <w:sz w:val="20"/>
          <w:szCs w:val="20"/>
        </w:rPr>
      </w:pPr>
      <w:r>
        <w:rPr>
          <w:rFonts w:cs="Arial"/>
          <w:sz w:val="20"/>
          <w:szCs w:val="20"/>
        </w:rPr>
        <w:t>mirrors</w:t>
      </w:r>
      <w:r w:rsidR="00735D09" w:rsidRPr="007908D3">
        <w:rPr>
          <w:rFonts w:cs="Arial"/>
          <w:sz w:val="20"/>
          <w:szCs w:val="20"/>
        </w:rPr>
        <w:t xml:space="preserve"> the current process for checking registrants’ domestic criminal histories</w:t>
      </w:r>
    </w:p>
    <w:p w:rsidR="00C04FA5" w:rsidRPr="00DD4764" w:rsidRDefault="007908D3" w:rsidP="00EF56F4">
      <w:pPr>
        <w:pStyle w:val="ListParagraph"/>
        <w:numPr>
          <w:ilvl w:val="0"/>
          <w:numId w:val="16"/>
        </w:numPr>
        <w:spacing w:before="120" w:after="120"/>
        <w:rPr>
          <w:rFonts w:cs="Arial"/>
          <w:sz w:val="20"/>
          <w:szCs w:val="20"/>
        </w:rPr>
      </w:pPr>
      <w:r w:rsidRPr="00DD4764">
        <w:rPr>
          <w:rFonts w:cs="Arial"/>
          <w:sz w:val="20"/>
          <w:szCs w:val="20"/>
        </w:rPr>
        <w:t>will increase</w:t>
      </w:r>
      <w:r w:rsidR="00735D09" w:rsidRPr="00DD4764">
        <w:rPr>
          <w:rFonts w:cs="Arial"/>
          <w:sz w:val="20"/>
          <w:szCs w:val="20"/>
        </w:rPr>
        <w:t xml:space="preserve"> efficiency and reduce impact on applicants, as they </w:t>
      </w:r>
      <w:r w:rsidRPr="00DD4764">
        <w:rPr>
          <w:rFonts w:cs="Arial"/>
          <w:sz w:val="20"/>
          <w:szCs w:val="20"/>
        </w:rPr>
        <w:t>will not</w:t>
      </w:r>
      <w:r w:rsidR="00735D09" w:rsidRPr="00DD4764">
        <w:rPr>
          <w:rFonts w:cs="Arial"/>
          <w:sz w:val="20"/>
          <w:szCs w:val="20"/>
        </w:rPr>
        <w:t xml:space="preserve"> need to communicate with overseas jurisdictions to</w:t>
      </w:r>
      <w:r w:rsidR="00DD4764">
        <w:rPr>
          <w:rFonts w:cs="Arial"/>
          <w:sz w:val="20"/>
          <w:szCs w:val="20"/>
        </w:rPr>
        <w:t xml:space="preserve"> gain the required information.</w:t>
      </w:r>
    </w:p>
    <w:p w:rsidR="00B11233" w:rsidRPr="00EF56F4" w:rsidRDefault="00A97365" w:rsidP="00EF56F4">
      <w:pPr>
        <w:pStyle w:val="ListParagraph"/>
        <w:numPr>
          <w:ilvl w:val="0"/>
          <w:numId w:val="16"/>
        </w:numPr>
        <w:spacing w:before="120" w:after="120"/>
        <w:rPr>
          <w:rFonts w:cs="Arial"/>
          <w:sz w:val="20"/>
          <w:szCs w:val="20"/>
        </w:rPr>
      </w:pPr>
      <w:r w:rsidRPr="00DD4764">
        <w:rPr>
          <w:rFonts w:cs="Arial"/>
          <w:sz w:val="20"/>
          <w:szCs w:val="20"/>
        </w:rPr>
        <w:t>does not add</w:t>
      </w:r>
      <w:r w:rsidR="00B11233" w:rsidRPr="00DD4764">
        <w:rPr>
          <w:rFonts w:cs="Arial"/>
          <w:sz w:val="20"/>
          <w:szCs w:val="20"/>
        </w:rPr>
        <w:t xml:space="preserve"> cost to the National Scheme, as the applicant meets the cost of the international checks, and</w:t>
      </w:r>
    </w:p>
    <w:p w:rsidR="00C04FA5" w:rsidRPr="00EF56F4" w:rsidRDefault="00B11233" w:rsidP="00EF56F4">
      <w:pPr>
        <w:pStyle w:val="ListParagraph"/>
        <w:numPr>
          <w:ilvl w:val="0"/>
          <w:numId w:val="16"/>
        </w:numPr>
        <w:spacing w:before="120" w:after="120"/>
        <w:rPr>
          <w:rFonts w:cs="Arial"/>
          <w:sz w:val="20"/>
          <w:szCs w:val="20"/>
        </w:rPr>
      </w:pPr>
      <w:r w:rsidRPr="00EF56F4">
        <w:rPr>
          <w:rFonts w:cs="Arial"/>
          <w:sz w:val="20"/>
          <w:szCs w:val="20"/>
        </w:rPr>
        <w:t>provides a consistent and comprehensive approach to checking international criminal history which is only reliant on the applicant’s declaration for a short time.</w:t>
      </w:r>
    </w:p>
    <w:p w:rsidR="00DB0E88" w:rsidRPr="006A3260" w:rsidRDefault="00495F56" w:rsidP="006A3260">
      <w:pPr>
        <w:pStyle w:val="AHPRAbody"/>
      </w:pPr>
      <w:r>
        <w:t>P</w:t>
      </w:r>
      <w:r w:rsidR="00E412AF">
        <w:t xml:space="preserve">ublic </w:t>
      </w:r>
      <w:r w:rsidR="002B7AC3">
        <w:t>consultation</w:t>
      </w:r>
      <w:r>
        <w:t xml:space="preserve"> on option 5 occurred</w:t>
      </w:r>
      <w:r w:rsidR="002B7AC3">
        <w:t xml:space="preserve"> in October 2013,</w:t>
      </w:r>
      <w:r w:rsidR="007A2F9F">
        <w:t xml:space="preserve"> and </w:t>
      </w:r>
      <w:r>
        <w:t xml:space="preserve">is </w:t>
      </w:r>
      <w:r w:rsidR="00A97365">
        <w:t xml:space="preserve">summarised </w:t>
      </w:r>
      <w:r>
        <w:t>below</w:t>
      </w:r>
      <w:r w:rsidR="007A2F9F">
        <w:t>.</w:t>
      </w:r>
      <w:r w:rsidR="004662D9">
        <w:rPr>
          <w:rStyle w:val="FootnoteReference"/>
        </w:rPr>
        <w:footnoteReference w:id="2"/>
      </w:r>
    </w:p>
    <w:p w:rsidR="007710B6" w:rsidRDefault="007710B6">
      <w:pPr>
        <w:spacing w:after="0"/>
        <w:rPr>
          <w:rFonts w:cs="Arial"/>
          <w:noProof/>
          <w:color w:val="00BCFF"/>
          <w:sz w:val="32"/>
          <w:szCs w:val="52"/>
          <w:lang w:val="en-GB" w:eastAsia="en-GB"/>
        </w:rPr>
      </w:pPr>
      <w:r>
        <w:rPr>
          <w:noProof/>
          <w:color w:val="00BCFF"/>
          <w:lang w:val="en-GB" w:eastAsia="en-GB"/>
        </w:rPr>
        <w:br w:type="page"/>
      </w:r>
    </w:p>
    <w:p w:rsidR="00C04FA5" w:rsidRPr="00C93B5B" w:rsidRDefault="00DC3647" w:rsidP="00C93B5B">
      <w:pPr>
        <w:pStyle w:val="AHPRADocumenttitle"/>
        <w:rPr>
          <w:noProof/>
          <w:color w:val="00BCFF"/>
          <w:lang w:val="en-GB" w:eastAsia="en-GB"/>
        </w:rPr>
      </w:pPr>
      <w:bookmarkStart w:id="4" w:name="_Toc400025695"/>
      <w:r w:rsidRPr="003A1F32">
        <w:rPr>
          <w:noProof/>
          <w:color w:val="00BCFF"/>
          <w:lang w:val="en-GB" w:eastAsia="en-GB"/>
        </w:rPr>
        <w:lastRenderedPageBreak/>
        <w:t xml:space="preserve">2013 </w:t>
      </w:r>
      <w:r w:rsidR="00F32E2B" w:rsidRPr="003A1F32">
        <w:rPr>
          <w:noProof/>
          <w:color w:val="00BCFF"/>
          <w:lang w:val="en-GB" w:eastAsia="en-GB"/>
        </w:rPr>
        <w:t>p</w:t>
      </w:r>
      <w:r w:rsidRPr="003A1F32">
        <w:rPr>
          <w:noProof/>
          <w:color w:val="00BCFF"/>
          <w:lang w:val="en-GB" w:eastAsia="en-GB"/>
        </w:rPr>
        <w:t xml:space="preserve">ublic </w:t>
      </w:r>
      <w:r w:rsidR="00F32E2B" w:rsidRPr="003A1F32">
        <w:rPr>
          <w:noProof/>
          <w:color w:val="00BCFF"/>
          <w:lang w:val="en-GB" w:eastAsia="en-GB"/>
        </w:rPr>
        <w:t>c</w:t>
      </w:r>
      <w:r w:rsidRPr="003A1F32">
        <w:rPr>
          <w:noProof/>
          <w:color w:val="00BCFF"/>
          <w:lang w:val="en-GB" w:eastAsia="en-GB"/>
        </w:rPr>
        <w:t>onsultation</w:t>
      </w:r>
      <w:bookmarkEnd w:id="4"/>
    </w:p>
    <w:p w:rsidR="00B12F14" w:rsidRDefault="00111986">
      <w:pPr>
        <w:pStyle w:val="AHPRAbody"/>
        <w:tabs>
          <w:tab w:val="center" w:pos="4749"/>
        </w:tabs>
        <w:spacing w:after="120"/>
        <w:rPr>
          <w:szCs w:val="20"/>
        </w:rPr>
      </w:pPr>
      <w:r>
        <w:rPr>
          <w:szCs w:val="20"/>
        </w:rPr>
        <w:t xml:space="preserve">The public consultation, </w:t>
      </w:r>
      <w:r w:rsidR="00493BE9" w:rsidRPr="00493BE9">
        <w:rPr>
          <w:szCs w:val="20"/>
        </w:rPr>
        <w:t>conducted from 1–31 October 2013</w:t>
      </w:r>
      <w:r>
        <w:rPr>
          <w:szCs w:val="20"/>
        </w:rPr>
        <w:t>,</w:t>
      </w:r>
      <w:r w:rsidR="00493BE9" w:rsidRPr="00493BE9">
        <w:rPr>
          <w:szCs w:val="20"/>
        </w:rPr>
        <w:t xml:space="preserve"> sought feedback on </w:t>
      </w:r>
      <w:r>
        <w:rPr>
          <w:szCs w:val="20"/>
        </w:rPr>
        <w:t>five possible options for refining international criminal history checks.</w:t>
      </w:r>
      <w:r w:rsidR="00AA3837">
        <w:rPr>
          <w:szCs w:val="20"/>
        </w:rPr>
        <w:t xml:space="preserve"> Option 5 was proposed </w:t>
      </w:r>
      <w:r w:rsidR="003A1F32">
        <w:rPr>
          <w:szCs w:val="20"/>
        </w:rPr>
        <w:t xml:space="preserve">as a </w:t>
      </w:r>
      <w:r w:rsidR="00AA3837">
        <w:rPr>
          <w:szCs w:val="20"/>
        </w:rPr>
        <w:t>new approach</w:t>
      </w:r>
      <w:r w:rsidR="003A1F32">
        <w:rPr>
          <w:szCs w:val="20"/>
        </w:rPr>
        <w:t xml:space="preserve"> to conducting international criminal history checks,</w:t>
      </w:r>
      <w:r w:rsidR="00DD7DAA">
        <w:rPr>
          <w:szCs w:val="20"/>
        </w:rPr>
        <w:t xml:space="preserve"> with the potential to achieve better outcomes</w:t>
      </w:r>
      <w:r w:rsidR="003A1F32">
        <w:rPr>
          <w:szCs w:val="20"/>
        </w:rPr>
        <w:t xml:space="preserve"> than the other four options (which had </w:t>
      </w:r>
      <w:r w:rsidR="00585377">
        <w:rPr>
          <w:szCs w:val="20"/>
        </w:rPr>
        <w:t>received mixed responses in</w:t>
      </w:r>
      <w:r w:rsidR="003A1F32">
        <w:rPr>
          <w:szCs w:val="20"/>
        </w:rPr>
        <w:t xml:space="preserve"> public consultation in 2012).</w:t>
      </w:r>
    </w:p>
    <w:p w:rsidR="00111986" w:rsidRPr="00DF23F4" w:rsidRDefault="00111986" w:rsidP="008C093F">
      <w:pPr>
        <w:pStyle w:val="AHPRAsubheadinglevel20"/>
        <w:tabs>
          <w:tab w:val="left" w:pos="1134"/>
        </w:tabs>
        <w:spacing w:before="200" w:line="240" w:lineRule="auto"/>
        <w:ind w:left="1134" w:hanging="1134"/>
      </w:pPr>
      <w:r w:rsidRPr="00DF23F4">
        <w:t xml:space="preserve">Option 1: </w:t>
      </w:r>
      <w:r w:rsidRPr="00DF23F4">
        <w:tab/>
      </w:r>
      <w:r w:rsidRPr="00DF23F4">
        <w:rPr>
          <w:b w:val="0"/>
        </w:rPr>
        <w:t>Applicant declaration only</w:t>
      </w:r>
      <w:r>
        <w:rPr>
          <w:b w:val="0"/>
        </w:rPr>
        <w:t xml:space="preserve"> </w:t>
      </w:r>
      <w:r w:rsidRPr="00111986">
        <w:rPr>
          <w:b w:val="0"/>
        </w:rPr>
        <w:t>(the applicant only needs to make a declaration about their international criminal history, without providing evidence, as is the current approach)</w:t>
      </w:r>
    </w:p>
    <w:p w:rsidR="00111986" w:rsidRPr="00DF23F4" w:rsidRDefault="00111986" w:rsidP="008C093F">
      <w:pPr>
        <w:pStyle w:val="AHPRAsubheadinglevel20"/>
        <w:tabs>
          <w:tab w:val="left" w:pos="1134"/>
        </w:tabs>
        <w:spacing w:line="240" w:lineRule="auto"/>
      </w:pPr>
      <w:r w:rsidRPr="00DF23F4">
        <w:t xml:space="preserve">Option 2: </w:t>
      </w:r>
      <w:r w:rsidRPr="00DF23F4">
        <w:tab/>
      </w:r>
      <w:r w:rsidRPr="00DF23F4">
        <w:rPr>
          <w:b w:val="0"/>
        </w:rPr>
        <w:t>Applicant provides criminal history clearance evidence with application</w:t>
      </w:r>
    </w:p>
    <w:p w:rsidR="00111986" w:rsidRPr="00DF23F4" w:rsidRDefault="00111986" w:rsidP="008C093F">
      <w:pPr>
        <w:pStyle w:val="AHPRAsubheadinglevel20"/>
        <w:spacing w:line="240" w:lineRule="auto"/>
        <w:ind w:left="1134" w:hanging="1134"/>
      </w:pPr>
      <w:r w:rsidRPr="00DF23F4">
        <w:t xml:space="preserve">Option 3: </w:t>
      </w:r>
      <w:r w:rsidRPr="00DF23F4">
        <w:tab/>
      </w:r>
      <w:r w:rsidRPr="00DF23F4">
        <w:rPr>
          <w:b w:val="0"/>
        </w:rPr>
        <w:t>AHPRA obtains clearance/information from jurisdictions outside Australia when processing application</w:t>
      </w:r>
    </w:p>
    <w:p w:rsidR="00111986" w:rsidRPr="00DF23F4" w:rsidRDefault="00111986" w:rsidP="008C093F">
      <w:pPr>
        <w:pStyle w:val="AHPRAsubheadinglevel20"/>
        <w:tabs>
          <w:tab w:val="left" w:pos="1134"/>
        </w:tabs>
        <w:spacing w:line="240" w:lineRule="auto"/>
      </w:pPr>
      <w:r w:rsidRPr="00DF23F4">
        <w:t>Option 4:</w:t>
      </w:r>
      <w:r w:rsidRPr="00DF23F4">
        <w:tab/>
      </w:r>
      <w:r w:rsidRPr="00DF23F4">
        <w:rPr>
          <w:b w:val="0"/>
        </w:rPr>
        <w:t>Applicant makes declaration and AHPRA undertakes random sample audit</w:t>
      </w:r>
      <w:r w:rsidRPr="00DF23F4">
        <w:t xml:space="preserve"> </w:t>
      </w:r>
    </w:p>
    <w:p w:rsidR="00111986" w:rsidRPr="00DF23F4" w:rsidRDefault="00111986" w:rsidP="008C093F">
      <w:pPr>
        <w:pStyle w:val="AHPRAsubheadinglevel20"/>
        <w:tabs>
          <w:tab w:val="left" w:pos="1134"/>
        </w:tabs>
        <w:spacing w:line="240" w:lineRule="auto"/>
      </w:pPr>
      <w:r w:rsidRPr="00DF23F4">
        <w:t>Option 5:</w:t>
      </w:r>
      <w:r w:rsidRPr="00DF23F4">
        <w:tab/>
      </w:r>
      <w:r w:rsidRPr="00DF23F4">
        <w:rPr>
          <w:b w:val="0"/>
        </w:rPr>
        <w:t>External provider conducts international criminal history checks</w:t>
      </w:r>
    </w:p>
    <w:p w:rsidR="00273EF0" w:rsidRDefault="00F32E2B" w:rsidP="00111986">
      <w:pPr>
        <w:pStyle w:val="AHPRANumberedlistlevel1"/>
        <w:numPr>
          <w:ilvl w:val="0"/>
          <w:numId w:val="0"/>
        </w:numPr>
        <w:rPr>
          <w:szCs w:val="20"/>
        </w:rPr>
      </w:pPr>
      <w:r>
        <w:rPr>
          <w:szCs w:val="20"/>
        </w:rPr>
        <w:t xml:space="preserve">The consultation was advertised on </w:t>
      </w:r>
      <w:r w:rsidR="00A97365">
        <w:rPr>
          <w:szCs w:val="20"/>
        </w:rPr>
        <w:t xml:space="preserve">the National Board and </w:t>
      </w:r>
      <w:r>
        <w:rPr>
          <w:szCs w:val="20"/>
        </w:rPr>
        <w:t>AHPRA</w:t>
      </w:r>
      <w:r w:rsidR="00C53900">
        <w:rPr>
          <w:szCs w:val="20"/>
        </w:rPr>
        <w:t xml:space="preserve"> website</w:t>
      </w:r>
      <w:r w:rsidR="00A97365">
        <w:rPr>
          <w:szCs w:val="20"/>
        </w:rPr>
        <w:t>s</w:t>
      </w:r>
      <w:r w:rsidR="00B94F45">
        <w:rPr>
          <w:szCs w:val="20"/>
        </w:rPr>
        <w:t xml:space="preserve"> and</w:t>
      </w:r>
      <w:r w:rsidR="00104ABB">
        <w:rPr>
          <w:szCs w:val="20"/>
        </w:rPr>
        <w:t xml:space="preserve"> </w:t>
      </w:r>
      <w:r w:rsidR="00A97365">
        <w:rPr>
          <w:szCs w:val="20"/>
        </w:rPr>
        <w:t xml:space="preserve">to key </w:t>
      </w:r>
      <w:r w:rsidR="00104ABB">
        <w:rPr>
          <w:szCs w:val="20"/>
        </w:rPr>
        <w:t>stakeholders</w:t>
      </w:r>
      <w:r w:rsidR="00E230E0">
        <w:rPr>
          <w:szCs w:val="20"/>
        </w:rPr>
        <w:t xml:space="preserve"> by email</w:t>
      </w:r>
      <w:r w:rsidR="00104ABB">
        <w:rPr>
          <w:szCs w:val="20"/>
        </w:rPr>
        <w:t xml:space="preserve">. It was also promoted in </w:t>
      </w:r>
      <w:r w:rsidR="00493BE9" w:rsidRPr="00C93B5B">
        <w:rPr>
          <w:szCs w:val="20"/>
        </w:rPr>
        <w:t xml:space="preserve">Board newsletters and </w:t>
      </w:r>
      <w:r w:rsidR="00DB0E88" w:rsidRPr="00C93B5B">
        <w:rPr>
          <w:szCs w:val="20"/>
        </w:rPr>
        <w:t>communiqués</w:t>
      </w:r>
      <w:r w:rsidR="00104ABB" w:rsidRPr="00C93B5B">
        <w:rPr>
          <w:szCs w:val="20"/>
        </w:rPr>
        <w:t>.</w:t>
      </w:r>
    </w:p>
    <w:p w:rsidR="00DB0E88" w:rsidRPr="00111986" w:rsidRDefault="00DB0E88" w:rsidP="00111986">
      <w:pPr>
        <w:pStyle w:val="AHPRANumberedlistlevel1"/>
        <w:numPr>
          <w:ilvl w:val="0"/>
          <w:numId w:val="0"/>
        </w:numPr>
      </w:pPr>
    </w:p>
    <w:p w:rsidR="00F5444D" w:rsidRDefault="00273EF0">
      <w:pPr>
        <w:pStyle w:val="AHPRAbody"/>
        <w:tabs>
          <w:tab w:val="center" w:pos="4749"/>
        </w:tabs>
        <w:spacing w:after="120"/>
        <w:rPr>
          <w:szCs w:val="20"/>
        </w:rPr>
      </w:pPr>
      <w:r>
        <w:rPr>
          <w:szCs w:val="20"/>
        </w:rPr>
        <w:t>The</w:t>
      </w:r>
      <w:r w:rsidR="000B7CAC">
        <w:rPr>
          <w:szCs w:val="20"/>
        </w:rPr>
        <w:t xml:space="preserve"> </w:t>
      </w:r>
      <w:hyperlink r:id="rId11" w:history="1">
        <w:r w:rsidR="000B7CAC" w:rsidRPr="00A77C53">
          <w:rPr>
            <w:rStyle w:val="Hyperlink"/>
            <w:szCs w:val="20"/>
          </w:rPr>
          <w:t>consultation paper</w:t>
        </w:r>
      </w:hyperlink>
      <w:r w:rsidR="00A77C53">
        <w:rPr>
          <w:szCs w:val="20"/>
        </w:rPr>
        <w:t xml:space="preserve"> </w:t>
      </w:r>
      <w:r w:rsidR="000B7CAC">
        <w:rPr>
          <w:szCs w:val="20"/>
        </w:rPr>
        <w:t>outlined</w:t>
      </w:r>
      <w:r w:rsidR="00A77C53">
        <w:rPr>
          <w:szCs w:val="20"/>
        </w:rPr>
        <w:t xml:space="preserve"> the five available options </w:t>
      </w:r>
      <w:r w:rsidR="0056520D">
        <w:rPr>
          <w:szCs w:val="20"/>
        </w:rPr>
        <w:t xml:space="preserve">for international criminal history checking, including their benefits and risks, </w:t>
      </w:r>
      <w:r w:rsidR="00901C87">
        <w:rPr>
          <w:szCs w:val="20"/>
        </w:rPr>
        <w:t>as well as</w:t>
      </w:r>
      <w:r w:rsidR="00A77C53">
        <w:rPr>
          <w:szCs w:val="20"/>
        </w:rPr>
        <w:t>:</w:t>
      </w:r>
    </w:p>
    <w:p w:rsidR="00F5444D" w:rsidRPr="00B14BE2" w:rsidRDefault="00413A3F" w:rsidP="00B14BE2">
      <w:pPr>
        <w:pStyle w:val="AHPRABulletlevel1"/>
        <w:ind w:left="369" w:hanging="369"/>
      </w:pPr>
      <w:r w:rsidRPr="00B14BE2">
        <w:t>the relevan</w:t>
      </w:r>
      <w:r w:rsidR="00A77C53" w:rsidRPr="00B14BE2">
        <w:t>t sections of the National Law</w:t>
      </w:r>
    </w:p>
    <w:p w:rsidR="00F5444D" w:rsidRPr="00B14BE2" w:rsidRDefault="00413A3F" w:rsidP="00B14BE2">
      <w:pPr>
        <w:pStyle w:val="AHPRABulletlevel1"/>
        <w:ind w:left="369" w:hanging="369"/>
      </w:pPr>
      <w:r w:rsidRPr="00B14BE2">
        <w:t xml:space="preserve">the current </w:t>
      </w:r>
      <w:r w:rsidR="00A77C53" w:rsidRPr="00B14BE2">
        <w:t>process for checking criminal history</w:t>
      </w:r>
    </w:p>
    <w:p w:rsidR="00F5444D" w:rsidRPr="00B14BE2" w:rsidRDefault="00901C87" w:rsidP="00B14BE2">
      <w:pPr>
        <w:pStyle w:val="AHPRABulletlevel1"/>
        <w:ind w:left="369" w:hanging="369"/>
      </w:pPr>
      <w:r w:rsidRPr="00B14BE2">
        <w:t xml:space="preserve">the </w:t>
      </w:r>
      <w:r w:rsidR="00413A3F" w:rsidRPr="00B14BE2">
        <w:t>res</w:t>
      </w:r>
      <w:r w:rsidR="00A77C53" w:rsidRPr="00B14BE2">
        <w:t>ults of previous consultations on international criminal history checks</w:t>
      </w:r>
    </w:p>
    <w:p w:rsidR="00F5444D" w:rsidRPr="00B14BE2" w:rsidRDefault="00413A3F" w:rsidP="00B14BE2">
      <w:pPr>
        <w:pStyle w:val="AHPRABulletlevel1"/>
        <w:ind w:left="369" w:hanging="369"/>
      </w:pPr>
      <w:r w:rsidRPr="00B14BE2">
        <w:t>what an international criminal history check by an external</w:t>
      </w:r>
      <w:r w:rsidR="00A77C53" w:rsidRPr="00B14BE2">
        <w:t xml:space="preserve"> service provider would </w:t>
      </w:r>
      <w:r w:rsidR="00A97365">
        <w:t>involve</w:t>
      </w:r>
    </w:p>
    <w:p w:rsidR="00F5444D" w:rsidRPr="00B14BE2" w:rsidRDefault="00413A3F" w:rsidP="00B14BE2">
      <w:pPr>
        <w:pStyle w:val="AHPRABulletlevel1"/>
        <w:ind w:left="369" w:hanging="369"/>
      </w:pPr>
      <w:r w:rsidRPr="00B14BE2">
        <w:t>the scope of internati</w:t>
      </w:r>
      <w:r w:rsidR="00A77C53" w:rsidRPr="00B14BE2">
        <w:t>onal criminal history checking</w:t>
      </w:r>
    </w:p>
    <w:p w:rsidR="00F5444D" w:rsidRPr="00B14BE2" w:rsidRDefault="00413A3F" w:rsidP="00B14BE2">
      <w:pPr>
        <w:pStyle w:val="AHPRABulletlevel1"/>
        <w:ind w:left="369" w:hanging="369"/>
      </w:pPr>
      <w:r w:rsidRPr="00B14BE2">
        <w:t xml:space="preserve">the </w:t>
      </w:r>
      <w:r w:rsidR="00A97365">
        <w:t xml:space="preserve">proposed </w:t>
      </w:r>
      <w:r w:rsidRPr="00B14BE2">
        <w:t>time period</w:t>
      </w:r>
      <w:r w:rsidR="00A77C53" w:rsidRPr="00B14BE2">
        <w:t xml:space="preserve"> for the check and scope of declaration</w:t>
      </w:r>
      <w:r w:rsidR="003F7834" w:rsidRPr="00B14BE2">
        <w:t xml:space="preserve"> (including advice on countries with spent convictions and rehabilitation</w:t>
      </w:r>
      <w:r w:rsidR="00D9029B">
        <w:t xml:space="preserve"> of offenders</w:t>
      </w:r>
      <w:r w:rsidR="003F7834" w:rsidRPr="00B14BE2">
        <w:t xml:space="preserve"> legislation)</w:t>
      </w:r>
    </w:p>
    <w:p w:rsidR="00F5444D" w:rsidRPr="00B14BE2" w:rsidRDefault="00A77C53" w:rsidP="00B14BE2">
      <w:pPr>
        <w:pStyle w:val="AHPRABulletlevel1"/>
        <w:ind w:left="369" w:hanging="369"/>
      </w:pPr>
      <w:r w:rsidRPr="00B14BE2">
        <w:t xml:space="preserve">which </w:t>
      </w:r>
      <w:r w:rsidR="00A97365">
        <w:t xml:space="preserve">current </w:t>
      </w:r>
      <w:r w:rsidRPr="00B14BE2">
        <w:t>requirements would be continued (domestic criminal history check, criminal history declaration and certifications of registration status or good standing from every jurisdiction in which they are currently, or have previously been registered as a health practitioner</w:t>
      </w:r>
      <w:r w:rsidR="002D2AB2">
        <w:t>)</w:t>
      </w:r>
      <w:r w:rsidR="005055DA" w:rsidRPr="00B14BE2">
        <w:t>, and</w:t>
      </w:r>
    </w:p>
    <w:p w:rsidR="00F5444D" w:rsidRPr="00C93B5B" w:rsidRDefault="007926CD" w:rsidP="00C93B5B">
      <w:pPr>
        <w:pStyle w:val="AHPRABulletlevel1last"/>
      </w:pPr>
      <w:r w:rsidRPr="00B14BE2">
        <w:t>advice on how claims of persecution and ‘questionable’ international convictions will be addressed</w:t>
      </w:r>
      <w:r w:rsidR="00104ABB" w:rsidRPr="00B14BE2">
        <w:t>.</w:t>
      </w:r>
    </w:p>
    <w:p w:rsidR="00F5444D" w:rsidRDefault="002E1D8F">
      <w:pPr>
        <w:pStyle w:val="AHPRABulletlevel1"/>
        <w:numPr>
          <w:ilvl w:val="0"/>
          <w:numId w:val="0"/>
        </w:numPr>
        <w:spacing w:after="120"/>
        <w:rPr>
          <w:szCs w:val="20"/>
        </w:rPr>
      </w:pPr>
      <w:r w:rsidRPr="00104ABB">
        <w:rPr>
          <w:szCs w:val="20"/>
        </w:rPr>
        <w:t>Respondents</w:t>
      </w:r>
      <w:r w:rsidR="00493BE9" w:rsidRPr="00493BE9">
        <w:rPr>
          <w:szCs w:val="20"/>
        </w:rPr>
        <w:t xml:space="preserve"> were asked to </w:t>
      </w:r>
      <w:r w:rsidR="00A97365">
        <w:rPr>
          <w:szCs w:val="20"/>
        </w:rPr>
        <w:t>respond to</w:t>
      </w:r>
      <w:r w:rsidR="00493BE9" w:rsidRPr="00493BE9">
        <w:rPr>
          <w:szCs w:val="20"/>
        </w:rPr>
        <w:t xml:space="preserve"> the following questions</w:t>
      </w:r>
      <w:r w:rsidR="00104ABB">
        <w:rPr>
          <w:szCs w:val="20"/>
        </w:rPr>
        <w:t>.</w:t>
      </w:r>
    </w:p>
    <w:p w:rsidR="00F5444D" w:rsidRDefault="00493BE9">
      <w:pPr>
        <w:pStyle w:val="AHPRABulletlevel1"/>
        <w:rPr>
          <w:szCs w:val="20"/>
        </w:rPr>
      </w:pPr>
      <w:r w:rsidRPr="00493BE9">
        <w:rPr>
          <w:szCs w:val="20"/>
        </w:rPr>
        <w:t xml:space="preserve">Is the proposed new approach the best option? </w:t>
      </w:r>
    </w:p>
    <w:p w:rsidR="00F5444D" w:rsidRDefault="00493BE9">
      <w:pPr>
        <w:pStyle w:val="AHPRABulletlevel1"/>
        <w:rPr>
          <w:szCs w:val="20"/>
        </w:rPr>
      </w:pPr>
      <w:r w:rsidRPr="00493BE9">
        <w:rPr>
          <w:szCs w:val="20"/>
        </w:rPr>
        <w:t xml:space="preserve">Is the proposed approach clear? </w:t>
      </w:r>
    </w:p>
    <w:p w:rsidR="00F5444D" w:rsidRDefault="00493BE9">
      <w:pPr>
        <w:pStyle w:val="AHPRABulletlevel1"/>
        <w:rPr>
          <w:szCs w:val="20"/>
        </w:rPr>
      </w:pPr>
      <w:r w:rsidRPr="00493BE9">
        <w:rPr>
          <w:szCs w:val="20"/>
        </w:rPr>
        <w:t xml:space="preserve">Are there any risks or issues about the proposed process that need more consideration? </w:t>
      </w:r>
    </w:p>
    <w:p w:rsidR="00F5444D" w:rsidRDefault="00493BE9">
      <w:pPr>
        <w:pStyle w:val="AHPRABulletlevel1"/>
        <w:rPr>
          <w:szCs w:val="20"/>
        </w:rPr>
      </w:pPr>
      <w:r w:rsidRPr="00493BE9">
        <w:rPr>
          <w:szCs w:val="20"/>
        </w:rPr>
        <w:t xml:space="preserve">Should international criminal history checks be conducted for countries where applicants have spent three months or more, or six months or more? </w:t>
      </w:r>
    </w:p>
    <w:p w:rsidR="00F5444D" w:rsidRPr="00C93B5B" w:rsidRDefault="00493BE9" w:rsidP="00C93B5B">
      <w:pPr>
        <w:pStyle w:val="AHPRABulletlevel1last"/>
      </w:pPr>
      <w:r w:rsidRPr="00C93B5B">
        <w:t xml:space="preserve">Do you have any other comments? </w:t>
      </w:r>
    </w:p>
    <w:p w:rsidR="00F5444D" w:rsidRDefault="001D3614">
      <w:pPr>
        <w:pStyle w:val="AHPRAbody"/>
        <w:tabs>
          <w:tab w:val="center" w:pos="4749"/>
        </w:tabs>
        <w:rPr>
          <w:noProof/>
          <w:color w:val="00BCFF"/>
          <w:sz w:val="32"/>
          <w:szCs w:val="52"/>
          <w:lang w:val="en-GB" w:eastAsia="en-GB"/>
        </w:rPr>
      </w:pPr>
      <w:r>
        <w:t>Sixty</w:t>
      </w:r>
      <w:r w:rsidR="00A7077F">
        <w:t xml:space="preserve"> responses from </w:t>
      </w:r>
      <w:r w:rsidR="003E3A1F">
        <w:t>organisations and indiv</w:t>
      </w:r>
      <w:r w:rsidR="00706D55">
        <w:t>i</w:t>
      </w:r>
      <w:r w:rsidR="003E3A1F">
        <w:t xml:space="preserve">duals </w:t>
      </w:r>
      <w:r w:rsidR="008E2BE1">
        <w:t xml:space="preserve">were received </w:t>
      </w:r>
      <w:r w:rsidR="008E2BE1" w:rsidRPr="001D3614">
        <w:t>and analysed</w:t>
      </w:r>
      <w:r w:rsidR="00A97365">
        <w:t>, including</w:t>
      </w:r>
      <w:r w:rsidR="008E2BE1" w:rsidRPr="001D3614">
        <w:t xml:space="preserve"> to</w:t>
      </w:r>
      <w:r w:rsidR="008E2BE1">
        <w:t xml:space="preserve"> identify the option with the most support as well as issues </w:t>
      </w:r>
      <w:r w:rsidR="00A97365">
        <w:t>to be considered in</w:t>
      </w:r>
      <w:r w:rsidR="008E2BE1">
        <w:t xml:space="preserve"> implementation</w:t>
      </w:r>
      <w:r w:rsidR="00F04849">
        <w:t xml:space="preserve">. </w:t>
      </w:r>
      <w:r>
        <w:t>All</w:t>
      </w:r>
      <w:r w:rsidRPr="001D3614">
        <w:t xml:space="preserve"> written submissions</w:t>
      </w:r>
      <w:r w:rsidR="008E2BE1" w:rsidRPr="001D3614">
        <w:t xml:space="preserve"> </w:t>
      </w:r>
      <w:r w:rsidR="00461130" w:rsidRPr="00B5003D">
        <w:t>have been</w:t>
      </w:r>
      <w:r w:rsidRPr="001D3614">
        <w:t xml:space="preserve"> published on the AHPRA website</w:t>
      </w:r>
      <w:r>
        <w:t xml:space="preserve"> (unless </w:t>
      </w:r>
      <w:r w:rsidR="006A3260">
        <w:t>the respondent has</w:t>
      </w:r>
      <w:r>
        <w:t xml:space="preserve"> indicated that </w:t>
      </w:r>
      <w:r w:rsidR="006A3260">
        <w:t>their response is</w:t>
      </w:r>
      <w:r>
        <w:t xml:space="preserve"> not for publication).</w:t>
      </w:r>
    </w:p>
    <w:p w:rsidR="00CB6BDA" w:rsidRDefault="00CB6BDA">
      <w:pPr>
        <w:spacing w:after="0"/>
        <w:rPr>
          <w:rFonts w:cs="Arial"/>
          <w:noProof/>
          <w:color w:val="00BCFF"/>
          <w:sz w:val="32"/>
          <w:szCs w:val="52"/>
          <w:lang w:val="en-GB" w:eastAsia="en-GB"/>
        </w:rPr>
      </w:pPr>
      <w:r>
        <w:rPr>
          <w:noProof/>
          <w:color w:val="00BCFF"/>
          <w:lang w:val="en-GB" w:eastAsia="en-GB"/>
        </w:rPr>
        <w:br w:type="page"/>
      </w:r>
    </w:p>
    <w:p w:rsidR="00991386" w:rsidRDefault="00F0687C" w:rsidP="00E52F0D">
      <w:pPr>
        <w:pStyle w:val="AHPRADocumenttitle"/>
        <w:rPr>
          <w:noProof/>
          <w:color w:val="00BCFF"/>
          <w:lang w:val="en-GB" w:eastAsia="en-GB"/>
        </w:rPr>
      </w:pPr>
      <w:bookmarkStart w:id="5" w:name="_Toc400025696"/>
      <w:r w:rsidRPr="00E52F0D">
        <w:rPr>
          <w:noProof/>
          <w:color w:val="00BCFF"/>
          <w:lang w:val="en-GB" w:eastAsia="en-GB"/>
        </w:rPr>
        <w:lastRenderedPageBreak/>
        <w:t xml:space="preserve">Overview and </w:t>
      </w:r>
      <w:r w:rsidR="00756AA3" w:rsidRPr="00E52F0D">
        <w:rPr>
          <w:noProof/>
          <w:color w:val="00BCFF"/>
          <w:lang w:val="en-GB" w:eastAsia="en-GB"/>
        </w:rPr>
        <w:t>r</w:t>
      </w:r>
      <w:r w:rsidR="009344B5" w:rsidRPr="00E52F0D">
        <w:rPr>
          <w:noProof/>
          <w:color w:val="00BCFF"/>
          <w:lang w:val="en-GB" w:eastAsia="en-GB"/>
        </w:rPr>
        <w:t>esults</w:t>
      </w:r>
      <w:bookmarkEnd w:id="5"/>
    </w:p>
    <w:p w:rsidR="00756AA3" w:rsidRDefault="00A97365" w:rsidP="00461130">
      <w:pPr>
        <w:pStyle w:val="AHPRAbody"/>
        <w:spacing w:after="120"/>
      </w:pPr>
      <w:r>
        <w:t>T</w:t>
      </w:r>
      <w:r w:rsidR="00756AA3">
        <w:t>he majority of submissions (</w:t>
      </w:r>
      <w:r w:rsidR="000A1C90">
        <w:t>38</w:t>
      </w:r>
      <w:r w:rsidR="00756AA3">
        <w:t>) support</w:t>
      </w:r>
      <w:r>
        <w:t>ed</w:t>
      </w:r>
      <w:r w:rsidR="00756AA3">
        <w:t xml:space="preserve"> option 5.</w:t>
      </w:r>
    </w:p>
    <w:p w:rsidR="00F5444D" w:rsidRDefault="00756AA3" w:rsidP="00461130">
      <w:pPr>
        <w:pStyle w:val="AHPRAbody"/>
        <w:spacing w:after="120"/>
      </w:pPr>
      <w:r>
        <w:t>A s</w:t>
      </w:r>
      <w:r w:rsidR="000F16FA">
        <w:t xml:space="preserve">mall number of </w:t>
      </w:r>
      <w:r>
        <w:t>respondents did</w:t>
      </w:r>
      <w:r w:rsidR="00540469">
        <w:t xml:space="preserve"> not support option 5 on the basis that</w:t>
      </w:r>
      <w:r w:rsidR="00C61302">
        <w:t xml:space="preserve"> </w:t>
      </w:r>
      <w:r w:rsidR="006A7E5B">
        <w:t>they considered</w:t>
      </w:r>
      <w:r w:rsidR="00540469">
        <w:t>:</w:t>
      </w:r>
    </w:p>
    <w:p w:rsidR="00C04FA5" w:rsidRDefault="00906030">
      <w:pPr>
        <w:pStyle w:val="ListParagraph"/>
        <w:numPr>
          <w:ilvl w:val="0"/>
          <w:numId w:val="12"/>
        </w:numPr>
        <w:spacing w:before="120" w:after="120"/>
        <w:rPr>
          <w:rFonts w:cs="Arial"/>
          <w:sz w:val="20"/>
          <w:szCs w:val="20"/>
        </w:rPr>
      </w:pPr>
      <w:r>
        <w:rPr>
          <w:rFonts w:cs="Arial"/>
          <w:sz w:val="20"/>
          <w:szCs w:val="20"/>
        </w:rPr>
        <w:t>it</w:t>
      </w:r>
      <w:r w:rsidR="00540469" w:rsidRPr="00540469">
        <w:rPr>
          <w:rFonts w:cs="Arial"/>
          <w:sz w:val="20"/>
          <w:szCs w:val="20"/>
        </w:rPr>
        <w:t xml:space="preserve"> does not sufficiently protect the public for applicants who have never lived in Australia</w:t>
      </w:r>
    </w:p>
    <w:p w:rsidR="00C04FA5" w:rsidRDefault="00540469">
      <w:pPr>
        <w:pStyle w:val="ListParagraph"/>
        <w:numPr>
          <w:ilvl w:val="0"/>
          <w:numId w:val="12"/>
        </w:numPr>
        <w:spacing w:before="120" w:after="120"/>
        <w:rPr>
          <w:rFonts w:cs="Arial"/>
          <w:sz w:val="20"/>
          <w:szCs w:val="20"/>
        </w:rPr>
      </w:pPr>
      <w:r w:rsidRPr="00540469">
        <w:rPr>
          <w:rFonts w:cs="Arial"/>
          <w:sz w:val="20"/>
          <w:szCs w:val="20"/>
        </w:rPr>
        <w:t xml:space="preserve">to protect the public, Boards must check criminal history before deciding an application for registration, </w:t>
      </w:r>
      <w:r w:rsidR="00735D09" w:rsidRPr="00735D09">
        <w:rPr>
          <w:rFonts w:cs="Arial"/>
          <w:sz w:val="20"/>
          <w:szCs w:val="20"/>
        </w:rPr>
        <w:t>and</w:t>
      </w:r>
    </w:p>
    <w:p w:rsidR="00C04FA5" w:rsidRDefault="00540469">
      <w:pPr>
        <w:pStyle w:val="ListParagraph"/>
        <w:numPr>
          <w:ilvl w:val="0"/>
          <w:numId w:val="12"/>
        </w:numPr>
        <w:spacing w:before="120" w:after="120"/>
        <w:rPr>
          <w:rFonts w:cs="Arial"/>
          <w:sz w:val="20"/>
          <w:szCs w:val="20"/>
        </w:rPr>
      </w:pPr>
      <w:r w:rsidRPr="00540469">
        <w:rPr>
          <w:rFonts w:cs="Arial"/>
          <w:sz w:val="20"/>
          <w:szCs w:val="20"/>
        </w:rPr>
        <w:t>it</w:t>
      </w:r>
      <w:r w:rsidR="000A1C90">
        <w:rPr>
          <w:rFonts w:cs="Arial"/>
          <w:sz w:val="20"/>
          <w:szCs w:val="20"/>
        </w:rPr>
        <w:t xml:space="preserve"> may</w:t>
      </w:r>
      <w:r w:rsidR="00104ABB">
        <w:rPr>
          <w:rFonts w:cs="Arial"/>
          <w:sz w:val="20"/>
          <w:szCs w:val="20"/>
        </w:rPr>
        <w:t xml:space="preserve"> </w:t>
      </w:r>
      <w:r w:rsidR="000A1C90">
        <w:rPr>
          <w:rFonts w:cs="Arial"/>
          <w:sz w:val="20"/>
          <w:szCs w:val="20"/>
        </w:rPr>
        <w:t>treat</w:t>
      </w:r>
      <w:r w:rsidR="000A1C90" w:rsidRPr="00540469">
        <w:rPr>
          <w:rFonts w:cs="Arial"/>
          <w:sz w:val="20"/>
          <w:szCs w:val="20"/>
        </w:rPr>
        <w:t xml:space="preserve"> </w:t>
      </w:r>
      <w:r w:rsidRPr="00540469">
        <w:rPr>
          <w:rFonts w:cs="Arial"/>
          <w:sz w:val="20"/>
          <w:szCs w:val="20"/>
        </w:rPr>
        <w:t>international applicants more advantageously that domestic applicants</w:t>
      </w:r>
      <w:r w:rsidR="00104ABB">
        <w:rPr>
          <w:rFonts w:cs="Arial"/>
          <w:sz w:val="20"/>
          <w:szCs w:val="20"/>
        </w:rPr>
        <w:t>.</w:t>
      </w:r>
    </w:p>
    <w:p w:rsidR="00947452" w:rsidRDefault="00947452" w:rsidP="005055DA">
      <w:pPr>
        <w:pStyle w:val="AHPRASubheadinglevel2"/>
        <w:rPr>
          <w:rFonts w:cs="Arial"/>
          <w:b w:val="0"/>
          <w:szCs w:val="20"/>
        </w:rPr>
      </w:pPr>
      <w:r w:rsidRPr="000A1C90">
        <w:rPr>
          <w:rFonts w:cs="Arial"/>
          <w:b w:val="0"/>
          <w:szCs w:val="20"/>
        </w:rPr>
        <w:t>Respondents</w:t>
      </w:r>
      <w:r>
        <w:rPr>
          <w:rFonts w:cs="Arial"/>
          <w:b w:val="0"/>
          <w:szCs w:val="20"/>
        </w:rPr>
        <w:t xml:space="preserve"> also </w:t>
      </w:r>
      <w:r w:rsidR="00906030">
        <w:rPr>
          <w:rFonts w:cs="Arial"/>
          <w:b w:val="0"/>
          <w:szCs w:val="20"/>
        </w:rPr>
        <w:t xml:space="preserve">preferred </w:t>
      </w:r>
      <w:r>
        <w:rPr>
          <w:rFonts w:cs="Arial"/>
          <w:b w:val="0"/>
          <w:szCs w:val="20"/>
        </w:rPr>
        <w:t xml:space="preserve">a requirement for applicants to provide international criminal history checks for countries in which they had resided for </w:t>
      </w:r>
      <w:r w:rsidR="00E11208">
        <w:rPr>
          <w:rFonts w:cs="Arial"/>
          <w:b w:val="0"/>
          <w:szCs w:val="20"/>
        </w:rPr>
        <w:t>six</w:t>
      </w:r>
      <w:r>
        <w:rPr>
          <w:rFonts w:cs="Arial"/>
          <w:b w:val="0"/>
          <w:szCs w:val="20"/>
        </w:rPr>
        <w:t xml:space="preserve"> months or more.</w:t>
      </w:r>
    </w:p>
    <w:p w:rsidR="00CE18B8" w:rsidRDefault="00A97365" w:rsidP="00DB0E88">
      <w:pPr>
        <w:pStyle w:val="AHPRASubheadinglevel2"/>
      </w:pPr>
      <w:r>
        <w:rPr>
          <w:rFonts w:cs="Arial"/>
          <w:b w:val="0"/>
          <w:szCs w:val="20"/>
        </w:rPr>
        <w:t>A summary of t</w:t>
      </w:r>
      <w:r w:rsidR="00DD3F0A">
        <w:rPr>
          <w:rFonts w:cs="Arial"/>
          <w:b w:val="0"/>
          <w:szCs w:val="20"/>
        </w:rPr>
        <w:t xml:space="preserve">he feedback received based on </w:t>
      </w:r>
      <w:r w:rsidR="002A4F60">
        <w:rPr>
          <w:rFonts w:cs="Arial"/>
          <w:b w:val="0"/>
          <w:szCs w:val="20"/>
        </w:rPr>
        <w:t>the consultation paper</w:t>
      </w:r>
      <w:r>
        <w:rPr>
          <w:rFonts w:cs="Arial"/>
          <w:b w:val="0"/>
          <w:szCs w:val="20"/>
        </w:rPr>
        <w:t xml:space="preserve"> questions</w:t>
      </w:r>
      <w:r w:rsidR="002A4F60">
        <w:rPr>
          <w:rFonts w:cs="Arial"/>
          <w:b w:val="0"/>
          <w:szCs w:val="20"/>
        </w:rPr>
        <w:t xml:space="preserve"> </w:t>
      </w:r>
      <w:r w:rsidR="00DD3F0A">
        <w:rPr>
          <w:rFonts w:cs="Arial"/>
          <w:b w:val="0"/>
          <w:szCs w:val="20"/>
        </w:rPr>
        <w:t>is</w:t>
      </w:r>
      <w:r w:rsidR="00D73777" w:rsidRPr="00D73777">
        <w:rPr>
          <w:rFonts w:cs="Arial"/>
          <w:b w:val="0"/>
          <w:szCs w:val="20"/>
        </w:rPr>
        <w:t xml:space="preserve"> below</w:t>
      </w:r>
      <w:r w:rsidR="004948F9">
        <w:rPr>
          <w:rFonts w:cs="Arial"/>
          <w:b w:val="0"/>
          <w:szCs w:val="20"/>
        </w:rPr>
        <w:t xml:space="preserve">, </w:t>
      </w:r>
      <w:r>
        <w:rPr>
          <w:rFonts w:cs="Arial"/>
          <w:b w:val="0"/>
          <w:szCs w:val="20"/>
        </w:rPr>
        <w:t xml:space="preserve">with the National Boards’ and </w:t>
      </w:r>
      <w:r w:rsidR="004948F9">
        <w:rPr>
          <w:rFonts w:cs="Arial"/>
          <w:b w:val="0"/>
          <w:szCs w:val="20"/>
        </w:rPr>
        <w:t>AHPRA’s response</w:t>
      </w:r>
      <w:r w:rsidR="00DD3F0A">
        <w:rPr>
          <w:rFonts w:cs="Arial"/>
          <w:b w:val="0"/>
          <w:szCs w:val="20"/>
        </w:rPr>
        <w:t>.</w:t>
      </w:r>
    </w:p>
    <w:p w:rsidR="00DE4FF1" w:rsidRPr="009344B5" w:rsidRDefault="00DE4FF1" w:rsidP="00947452">
      <w:pPr>
        <w:pStyle w:val="AHPRASubhead"/>
      </w:pPr>
      <w:r w:rsidRPr="009344B5">
        <w:t>Is the proposed new approach the best option?</w:t>
      </w:r>
    </w:p>
    <w:p w:rsidR="00DE4FF1" w:rsidRPr="0000218B" w:rsidRDefault="001D3921" w:rsidP="00A45919">
      <w:pPr>
        <w:pStyle w:val="AHPRASubheadinglevel2"/>
        <w:rPr>
          <w:rFonts w:cs="Arial"/>
          <w:b w:val="0"/>
          <w:szCs w:val="20"/>
        </w:rPr>
      </w:pPr>
      <w:r>
        <w:rPr>
          <w:rFonts w:cs="Arial"/>
          <w:b w:val="0"/>
          <w:szCs w:val="20"/>
        </w:rPr>
        <w:t xml:space="preserve">The majority of </w:t>
      </w:r>
      <w:r w:rsidR="00D12E75" w:rsidRPr="0000218B">
        <w:rPr>
          <w:rFonts w:cs="Arial"/>
          <w:b w:val="0"/>
          <w:szCs w:val="20"/>
        </w:rPr>
        <w:t xml:space="preserve">respondents indicated that there was support for </w:t>
      </w:r>
      <w:r w:rsidR="006878A6">
        <w:rPr>
          <w:rFonts w:cs="Arial"/>
          <w:b w:val="0"/>
          <w:szCs w:val="20"/>
        </w:rPr>
        <w:t>o</w:t>
      </w:r>
      <w:r w:rsidR="00D12E75" w:rsidRPr="0000218B">
        <w:rPr>
          <w:rFonts w:cs="Arial"/>
          <w:b w:val="0"/>
          <w:szCs w:val="20"/>
        </w:rPr>
        <w:t>ption 5, and that it provided a reasonable balance between protecting the public and delaying registration.</w:t>
      </w:r>
    </w:p>
    <w:p w:rsidR="001070E4" w:rsidRPr="0000218B" w:rsidRDefault="00D73777" w:rsidP="00461130">
      <w:pPr>
        <w:spacing w:after="120"/>
        <w:rPr>
          <w:rFonts w:cs="Arial"/>
          <w:sz w:val="20"/>
          <w:szCs w:val="20"/>
        </w:rPr>
      </w:pPr>
      <w:r>
        <w:rPr>
          <w:rFonts w:cs="Arial"/>
          <w:sz w:val="20"/>
          <w:szCs w:val="20"/>
        </w:rPr>
        <w:t xml:space="preserve">Specific </w:t>
      </w:r>
      <w:r w:rsidR="00517756">
        <w:rPr>
          <w:rFonts w:cs="Arial"/>
          <w:sz w:val="20"/>
          <w:szCs w:val="20"/>
        </w:rPr>
        <w:t>feedback</w:t>
      </w:r>
      <w:r>
        <w:rPr>
          <w:rFonts w:cs="Arial"/>
          <w:sz w:val="20"/>
          <w:szCs w:val="20"/>
        </w:rPr>
        <w:t xml:space="preserve"> in support </w:t>
      </w:r>
      <w:r w:rsidR="006878A6">
        <w:rPr>
          <w:rFonts w:cs="Arial"/>
          <w:sz w:val="20"/>
          <w:szCs w:val="20"/>
        </w:rPr>
        <w:t>of option 5</w:t>
      </w:r>
      <w:r w:rsidR="00797ED4">
        <w:rPr>
          <w:rFonts w:cs="Arial"/>
          <w:sz w:val="20"/>
          <w:szCs w:val="20"/>
        </w:rPr>
        <w:t>:</w:t>
      </w:r>
    </w:p>
    <w:p w:rsidR="001070E4" w:rsidRPr="005F3F9F" w:rsidRDefault="00517756" w:rsidP="001070E4">
      <w:pPr>
        <w:pStyle w:val="AHPRABulletlevel1"/>
        <w:spacing w:after="120"/>
        <w:ind w:left="714" w:hanging="357"/>
        <w:rPr>
          <w:rFonts w:cs="Arial"/>
          <w:color w:val="000000"/>
          <w:szCs w:val="20"/>
        </w:rPr>
      </w:pPr>
      <w:r w:rsidRPr="005F3F9F">
        <w:rPr>
          <w:rFonts w:cs="Arial"/>
          <w:szCs w:val="20"/>
        </w:rPr>
        <w:t xml:space="preserve">One respondent indicated that option 5 would minimise the risk of fraud while also </w:t>
      </w:r>
      <w:r w:rsidR="005F3F9F">
        <w:rPr>
          <w:rFonts w:cs="Arial"/>
          <w:szCs w:val="20"/>
        </w:rPr>
        <w:t>bein</w:t>
      </w:r>
      <w:r w:rsidR="00797ED4">
        <w:rPr>
          <w:rFonts w:cs="Arial"/>
          <w:szCs w:val="20"/>
        </w:rPr>
        <w:t>g</w:t>
      </w:r>
      <w:r w:rsidR="005F3F9F">
        <w:rPr>
          <w:rFonts w:cs="Arial"/>
          <w:szCs w:val="20"/>
        </w:rPr>
        <w:t xml:space="preserve"> transparent and consistent.</w:t>
      </w:r>
    </w:p>
    <w:p w:rsidR="001070E4" w:rsidRPr="005F3F9F" w:rsidRDefault="005F3F9F" w:rsidP="00D878EA">
      <w:pPr>
        <w:pStyle w:val="AHPRABulletlevel1"/>
        <w:spacing w:after="120"/>
        <w:ind w:left="714" w:hanging="357"/>
        <w:rPr>
          <w:rFonts w:cs="Arial"/>
          <w:color w:val="000000"/>
          <w:szCs w:val="20"/>
        </w:rPr>
      </w:pPr>
      <w:r w:rsidRPr="005F3F9F">
        <w:rPr>
          <w:rFonts w:cs="Arial"/>
          <w:color w:val="000000"/>
          <w:szCs w:val="20"/>
        </w:rPr>
        <w:t>The Australasian</w:t>
      </w:r>
      <w:r>
        <w:rPr>
          <w:rFonts w:cs="Arial"/>
          <w:color w:val="000000"/>
          <w:szCs w:val="20"/>
        </w:rPr>
        <w:t xml:space="preserve"> </w:t>
      </w:r>
      <w:r w:rsidRPr="005F3F9F">
        <w:rPr>
          <w:rFonts w:cs="Arial"/>
          <w:color w:val="000000"/>
          <w:szCs w:val="20"/>
        </w:rPr>
        <w:t xml:space="preserve">College for </w:t>
      </w:r>
      <w:r>
        <w:rPr>
          <w:rFonts w:cs="Arial"/>
          <w:color w:val="000000"/>
          <w:szCs w:val="20"/>
        </w:rPr>
        <w:t>E</w:t>
      </w:r>
      <w:r w:rsidRPr="005F3F9F">
        <w:rPr>
          <w:rFonts w:cs="Arial"/>
          <w:color w:val="000000"/>
          <w:szCs w:val="20"/>
        </w:rPr>
        <w:t xml:space="preserve">mergency </w:t>
      </w:r>
      <w:r>
        <w:rPr>
          <w:rFonts w:cs="Arial"/>
          <w:color w:val="000000"/>
          <w:szCs w:val="20"/>
        </w:rPr>
        <w:t>M</w:t>
      </w:r>
      <w:r w:rsidRPr="005F3F9F">
        <w:rPr>
          <w:rFonts w:cs="Arial"/>
          <w:color w:val="000000"/>
          <w:szCs w:val="20"/>
        </w:rPr>
        <w:t>edicine said that this adopting this option would ensure</w:t>
      </w:r>
      <w:r w:rsidR="001070E4" w:rsidRPr="005F3F9F">
        <w:rPr>
          <w:rFonts w:cs="Arial"/>
          <w:color w:val="000000"/>
          <w:szCs w:val="20"/>
        </w:rPr>
        <w:t xml:space="preserve"> </w:t>
      </w:r>
      <w:r w:rsidRPr="005F3F9F">
        <w:rPr>
          <w:rFonts w:cs="Arial"/>
          <w:color w:val="000000"/>
          <w:szCs w:val="20"/>
        </w:rPr>
        <w:t>‘</w:t>
      </w:r>
      <w:r w:rsidR="001070E4" w:rsidRPr="005F3F9F">
        <w:rPr>
          <w:rFonts w:cs="Arial"/>
          <w:color w:val="000000"/>
          <w:szCs w:val="20"/>
        </w:rPr>
        <w:t>a robust system which provides adequate protection for the community</w:t>
      </w:r>
      <w:r w:rsidR="002D2AB2">
        <w:rPr>
          <w:rFonts w:cs="Arial"/>
          <w:color w:val="000000"/>
          <w:szCs w:val="20"/>
        </w:rPr>
        <w:t>’</w:t>
      </w:r>
      <w:r w:rsidR="001070E4" w:rsidRPr="005F3F9F">
        <w:rPr>
          <w:rFonts w:cs="Arial"/>
          <w:color w:val="000000"/>
          <w:szCs w:val="20"/>
        </w:rPr>
        <w:t>.</w:t>
      </w:r>
    </w:p>
    <w:p w:rsidR="008C73C5" w:rsidRPr="00D878EA" w:rsidRDefault="005F3F9F" w:rsidP="00D878EA">
      <w:pPr>
        <w:pStyle w:val="AHPRABulletlevel1"/>
        <w:spacing w:after="120"/>
        <w:ind w:left="714" w:hanging="357"/>
        <w:rPr>
          <w:rFonts w:cs="Arial"/>
          <w:color w:val="000000"/>
          <w:szCs w:val="20"/>
        </w:rPr>
      </w:pPr>
      <w:r>
        <w:rPr>
          <w:rFonts w:cs="Arial"/>
          <w:color w:val="000000"/>
          <w:szCs w:val="20"/>
        </w:rPr>
        <w:t>The SA Dental Service commented that it ‘</w:t>
      </w:r>
      <w:r w:rsidR="008C73C5" w:rsidRPr="005F3F9F">
        <w:rPr>
          <w:rFonts w:cs="Arial"/>
          <w:color w:val="000000"/>
          <w:szCs w:val="20"/>
        </w:rPr>
        <w:t>would strike a reasonable balance between risk, undertaking comprehensive checks where appropriate and not imposing unnecessary delays on applicants becoming registered.</w:t>
      </w:r>
      <w:r w:rsidR="00D878EA" w:rsidRPr="005F3F9F">
        <w:rPr>
          <w:rFonts w:cs="Arial"/>
          <w:color w:val="000000"/>
          <w:szCs w:val="20"/>
        </w:rPr>
        <w:t>’</w:t>
      </w:r>
    </w:p>
    <w:p w:rsidR="001D3921" w:rsidRPr="0000218B" w:rsidRDefault="001D3921" w:rsidP="00461130">
      <w:pPr>
        <w:pStyle w:val="AHPRABulletlevel1"/>
        <w:numPr>
          <w:ilvl w:val="0"/>
          <w:numId w:val="0"/>
        </w:numPr>
        <w:spacing w:after="120"/>
        <w:ind w:left="357" w:hanging="357"/>
        <w:rPr>
          <w:rFonts w:cs="Arial"/>
          <w:szCs w:val="20"/>
        </w:rPr>
      </w:pPr>
      <w:r w:rsidRPr="005F3F9F">
        <w:rPr>
          <w:rFonts w:cs="Arial"/>
          <w:color w:val="000000"/>
          <w:szCs w:val="20"/>
        </w:rPr>
        <w:t>S</w:t>
      </w:r>
      <w:r w:rsidRPr="005F3F9F">
        <w:rPr>
          <w:rFonts w:cs="Arial"/>
          <w:szCs w:val="20"/>
        </w:rPr>
        <w:t xml:space="preserve">pecific </w:t>
      </w:r>
      <w:r w:rsidR="00797ED4">
        <w:rPr>
          <w:rFonts w:cs="Arial"/>
          <w:szCs w:val="20"/>
        </w:rPr>
        <w:t>objections</w:t>
      </w:r>
      <w:r w:rsidRPr="005F3F9F">
        <w:rPr>
          <w:rFonts w:cs="Arial"/>
          <w:szCs w:val="20"/>
        </w:rPr>
        <w:t xml:space="preserve"> to option 5</w:t>
      </w:r>
      <w:r w:rsidR="00797ED4">
        <w:rPr>
          <w:rFonts w:cs="Arial"/>
          <w:szCs w:val="20"/>
        </w:rPr>
        <w:t>:</w:t>
      </w:r>
    </w:p>
    <w:p w:rsidR="00C04FA5" w:rsidRDefault="001D3921">
      <w:pPr>
        <w:pStyle w:val="ListParagraph"/>
        <w:numPr>
          <w:ilvl w:val="0"/>
          <w:numId w:val="10"/>
        </w:numPr>
        <w:spacing w:after="120"/>
        <w:ind w:left="714" w:hanging="357"/>
        <w:contextualSpacing w:val="0"/>
        <w:rPr>
          <w:rFonts w:cs="Arial"/>
          <w:sz w:val="20"/>
          <w:szCs w:val="20"/>
        </w:rPr>
      </w:pPr>
      <w:r w:rsidRPr="005F3F9F">
        <w:rPr>
          <w:rFonts w:cs="Arial"/>
          <w:sz w:val="20"/>
          <w:szCs w:val="20"/>
        </w:rPr>
        <w:t>T</w:t>
      </w:r>
      <w:r>
        <w:rPr>
          <w:rFonts w:cs="Arial"/>
          <w:sz w:val="20"/>
          <w:szCs w:val="20"/>
        </w:rPr>
        <w:t xml:space="preserve">he Australian Medical Association (AMA) </w:t>
      </w:r>
      <w:r w:rsidR="000335CA">
        <w:rPr>
          <w:rFonts w:cs="Arial"/>
          <w:sz w:val="20"/>
          <w:szCs w:val="20"/>
        </w:rPr>
        <w:t xml:space="preserve">commented that option 5 </w:t>
      </w:r>
      <w:r w:rsidR="004B48CC">
        <w:rPr>
          <w:rFonts w:cs="Arial"/>
          <w:sz w:val="20"/>
          <w:szCs w:val="20"/>
        </w:rPr>
        <w:t xml:space="preserve">contravened the National Law requirement to check </w:t>
      </w:r>
      <w:r w:rsidRPr="001D3921">
        <w:rPr>
          <w:rFonts w:cs="Arial"/>
          <w:sz w:val="20"/>
          <w:szCs w:val="20"/>
        </w:rPr>
        <w:t>the applicant’s criminal history before deciding an application for registration</w:t>
      </w:r>
      <w:r w:rsidR="004B48CC">
        <w:rPr>
          <w:rFonts w:cs="Arial"/>
          <w:sz w:val="20"/>
          <w:szCs w:val="20"/>
        </w:rPr>
        <w:t>, a provision which</w:t>
      </w:r>
      <w:r w:rsidRPr="001D3921">
        <w:rPr>
          <w:rFonts w:cs="Arial"/>
          <w:sz w:val="20"/>
          <w:szCs w:val="20"/>
        </w:rPr>
        <w:t xml:space="preserve"> exists because it is material to protecting the public.</w:t>
      </w:r>
      <w:r>
        <w:rPr>
          <w:rFonts w:cs="Arial"/>
          <w:sz w:val="20"/>
          <w:szCs w:val="20"/>
        </w:rPr>
        <w:t xml:space="preserve"> The AMA also </w:t>
      </w:r>
      <w:r w:rsidR="002D2AB2">
        <w:rPr>
          <w:rFonts w:cs="Arial"/>
          <w:sz w:val="20"/>
          <w:szCs w:val="20"/>
        </w:rPr>
        <w:t xml:space="preserve">considered </w:t>
      </w:r>
      <w:r>
        <w:rPr>
          <w:rFonts w:cs="Arial"/>
          <w:sz w:val="20"/>
          <w:szCs w:val="20"/>
        </w:rPr>
        <w:t xml:space="preserve">that adopting option 5 would treat </w:t>
      </w:r>
      <w:r w:rsidRPr="0000218B">
        <w:rPr>
          <w:rFonts w:cs="Arial"/>
          <w:sz w:val="20"/>
          <w:szCs w:val="20"/>
        </w:rPr>
        <w:t xml:space="preserve">applicants who have never lived in Australia </w:t>
      </w:r>
      <w:r>
        <w:rPr>
          <w:rFonts w:cs="Arial"/>
          <w:sz w:val="20"/>
          <w:szCs w:val="20"/>
        </w:rPr>
        <w:t>‘</w:t>
      </w:r>
      <w:r w:rsidRPr="0000218B">
        <w:rPr>
          <w:rFonts w:cs="Arial"/>
          <w:sz w:val="20"/>
          <w:szCs w:val="20"/>
        </w:rPr>
        <w:t>mor</w:t>
      </w:r>
      <w:r>
        <w:rPr>
          <w:rFonts w:cs="Arial"/>
          <w:sz w:val="20"/>
          <w:szCs w:val="20"/>
        </w:rPr>
        <w:t>e</w:t>
      </w:r>
      <w:r w:rsidRPr="0000218B">
        <w:rPr>
          <w:rFonts w:cs="Arial"/>
          <w:sz w:val="20"/>
          <w:szCs w:val="20"/>
        </w:rPr>
        <w:t xml:space="preserve"> advantageously than </w:t>
      </w:r>
      <w:r>
        <w:rPr>
          <w:rFonts w:cs="Arial"/>
          <w:sz w:val="20"/>
          <w:szCs w:val="20"/>
        </w:rPr>
        <w:t>applicants</w:t>
      </w:r>
      <w:r w:rsidRPr="0000218B">
        <w:rPr>
          <w:rFonts w:cs="Arial"/>
          <w:sz w:val="20"/>
          <w:szCs w:val="20"/>
        </w:rPr>
        <w:t xml:space="preserve"> who have only lived in Australia who will not be registered until their criminal history has been checked</w:t>
      </w:r>
      <w:r>
        <w:rPr>
          <w:rFonts w:cs="Arial"/>
          <w:sz w:val="20"/>
          <w:szCs w:val="20"/>
        </w:rPr>
        <w:t>.’</w:t>
      </w:r>
    </w:p>
    <w:p w:rsidR="00C04FA5" w:rsidRDefault="001D3921">
      <w:pPr>
        <w:pStyle w:val="ListParagraph"/>
        <w:numPr>
          <w:ilvl w:val="0"/>
          <w:numId w:val="10"/>
        </w:numPr>
        <w:spacing w:before="120"/>
        <w:ind w:left="714" w:hanging="357"/>
        <w:contextualSpacing w:val="0"/>
        <w:rPr>
          <w:rFonts w:cs="Arial"/>
          <w:sz w:val="20"/>
          <w:szCs w:val="20"/>
        </w:rPr>
      </w:pPr>
      <w:r>
        <w:rPr>
          <w:rFonts w:cs="Arial"/>
          <w:sz w:val="20"/>
          <w:szCs w:val="20"/>
        </w:rPr>
        <w:t>The Australian Psychological Society</w:t>
      </w:r>
      <w:r w:rsidR="000737A0">
        <w:rPr>
          <w:rFonts w:cs="Arial"/>
          <w:sz w:val="20"/>
          <w:szCs w:val="20"/>
        </w:rPr>
        <w:t xml:space="preserve"> also </w:t>
      </w:r>
      <w:r w:rsidR="000737A0" w:rsidRPr="000737A0">
        <w:rPr>
          <w:rFonts w:cs="Arial"/>
          <w:sz w:val="20"/>
          <w:szCs w:val="20"/>
        </w:rPr>
        <w:t xml:space="preserve">commented that </w:t>
      </w:r>
      <w:r w:rsidR="000737A0">
        <w:rPr>
          <w:rFonts w:cs="Arial"/>
          <w:sz w:val="20"/>
          <w:szCs w:val="20"/>
        </w:rPr>
        <w:t>‘</w:t>
      </w:r>
      <w:r w:rsidR="000737A0" w:rsidRPr="000737A0">
        <w:rPr>
          <w:rFonts w:cs="Arial"/>
          <w:sz w:val="20"/>
          <w:szCs w:val="20"/>
        </w:rPr>
        <w:t>the rigid one-size-fits-all approach of Option 5 will have limitations and unintended consequences</w:t>
      </w:r>
      <w:r w:rsidR="000737A0">
        <w:rPr>
          <w:rFonts w:cs="Arial"/>
          <w:sz w:val="20"/>
          <w:szCs w:val="20"/>
        </w:rPr>
        <w:t>.’</w:t>
      </w:r>
    </w:p>
    <w:p w:rsidR="00D12E75" w:rsidRPr="004455ED" w:rsidRDefault="00797ED4" w:rsidP="00461130">
      <w:pPr>
        <w:spacing w:after="120"/>
        <w:rPr>
          <w:rFonts w:cs="Arial"/>
          <w:sz w:val="20"/>
          <w:szCs w:val="20"/>
        </w:rPr>
      </w:pPr>
      <w:r>
        <w:rPr>
          <w:rFonts w:cs="Arial"/>
          <w:sz w:val="20"/>
          <w:szCs w:val="20"/>
        </w:rPr>
        <w:t>Other c</w:t>
      </w:r>
      <w:r w:rsidR="00902E4F">
        <w:rPr>
          <w:rFonts w:cs="Arial"/>
          <w:sz w:val="20"/>
          <w:szCs w:val="20"/>
        </w:rPr>
        <w:t xml:space="preserve">oncerns from respondents </w:t>
      </w:r>
      <w:r w:rsidR="00D12E75" w:rsidRPr="004455ED">
        <w:rPr>
          <w:rFonts w:cs="Arial"/>
          <w:sz w:val="20"/>
          <w:szCs w:val="20"/>
        </w:rPr>
        <w:t>included:</w:t>
      </w:r>
    </w:p>
    <w:p w:rsidR="00BC56F0" w:rsidRDefault="00BC56F0" w:rsidP="00BC56F0">
      <w:pPr>
        <w:pStyle w:val="ListParagraph"/>
        <w:numPr>
          <w:ilvl w:val="0"/>
          <w:numId w:val="8"/>
        </w:numPr>
        <w:rPr>
          <w:rFonts w:cs="Arial"/>
          <w:sz w:val="20"/>
          <w:szCs w:val="20"/>
        </w:rPr>
      </w:pPr>
      <w:r>
        <w:rPr>
          <w:rFonts w:cs="Arial"/>
          <w:sz w:val="20"/>
          <w:szCs w:val="20"/>
        </w:rPr>
        <w:t xml:space="preserve">the risk of false declaration </w:t>
      </w:r>
    </w:p>
    <w:p w:rsidR="00BC56F0" w:rsidRDefault="00BC56F0" w:rsidP="00BC56F0">
      <w:pPr>
        <w:pStyle w:val="ListParagraph"/>
        <w:numPr>
          <w:ilvl w:val="0"/>
          <w:numId w:val="8"/>
        </w:numPr>
        <w:rPr>
          <w:rFonts w:cs="Arial"/>
          <w:sz w:val="20"/>
          <w:szCs w:val="20"/>
        </w:rPr>
      </w:pPr>
      <w:r>
        <w:rPr>
          <w:rFonts w:cs="Arial"/>
          <w:sz w:val="20"/>
          <w:szCs w:val="20"/>
        </w:rPr>
        <w:t>t</w:t>
      </w:r>
      <w:r w:rsidR="00D12E75" w:rsidRPr="0000218B">
        <w:rPr>
          <w:rFonts w:cs="Arial"/>
          <w:sz w:val="20"/>
          <w:szCs w:val="20"/>
        </w:rPr>
        <w:t xml:space="preserve">he </w:t>
      </w:r>
      <w:r>
        <w:rPr>
          <w:rFonts w:cs="Arial"/>
          <w:sz w:val="20"/>
          <w:szCs w:val="20"/>
        </w:rPr>
        <w:t>length of time between the initial registration</w:t>
      </w:r>
      <w:r w:rsidR="00D12E75" w:rsidRPr="0000218B">
        <w:rPr>
          <w:rFonts w:cs="Arial"/>
          <w:sz w:val="20"/>
          <w:szCs w:val="20"/>
        </w:rPr>
        <w:t xml:space="preserve"> </w:t>
      </w:r>
      <w:r>
        <w:rPr>
          <w:rFonts w:cs="Arial"/>
          <w:sz w:val="20"/>
          <w:szCs w:val="20"/>
        </w:rPr>
        <w:t>and receipt of the completed international</w:t>
      </w:r>
      <w:r w:rsidR="00D12E75" w:rsidRPr="0000218B">
        <w:rPr>
          <w:rFonts w:cs="Arial"/>
          <w:sz w:val="20"/>
          <w:szCs w:val="20"/>
        </w:rPr>
        <w:t xml:space="preserve"> crim</w:t>
      </w:r>
      <w:r>
        <w:rPr>
          <w:rFonts w:cs="Arial"/>
          <w:sz w:val="20"/>
          <w:szCs w:val="20"/>
        </w:rPr>
        <w:t xml:space="preserve">inal history check. The </w:t>
      </w:r>
      <w:r w:rsidRPr="002617D4">
        <w:rPr>
          <w:rFonts w:cs="Arial"/>
          <w:sz w:val="20"/>
          <w:szCs w:val="20"/>
        </w:rPr>
        <w:t>Consumers Health Forum of Australia</w:t>
      </w:r>
      <w:r>
        <w:rPr>
          <w:rFonts w:cs="Arial"/>
          <w:sz w:val="20"/>
          <w:szCs w:val="20"/>
        </w:rPr>
        <w:t xml:space="preserve"> commented: </w:t>
      </w:r>
      <w:r w:rsidR="006077CE" w:rsidRPr="00BC56F0">
        <w:rPr>
          <w:rFonts w:cs="Arial"/>
          <w:sz w:val="20"/>
          <w:szCs w:val="20"/>
        </w:rPr>
        <w:t xml:space="preserve">‘CHF </w:t>
      </w:r>
      <w:r w:rsidR="00797ED4">
        <w:rPr>
          <w:rFonts w:cs="Arial"/>
          <w:sz w:val="20"/>
          <w:szCs w:val="20"/>
        </w:rPr>
        <w:t>r</w:t>
      </w:r>
      <w:r w:rsidR="006077CE" w:rsidRPr="00BC56F0">
        <w:rPr>
          <w:rFonts w:cs="Arial"/>
          <w:sz w:val="20"/>
          <w:szCs w:val="20"/>
        </w:rPr>
        <w:t xml:space="preserve">ecommends that AHPRA ensure that the time lapse between an applicant registration and the completion of the international criminal history check is strictly time </w:t>
      </w:r>
      <w:r w:rsidR="00115911" w:rsidRPr="00BC56F0">
        <w:rPr>
          <w:rFonts w:cs="Arial"/>
          <w:sz w:val="20"/>
          <w:szCs w:val="20"/>
        </w:rPr>
        <w:t>restricted</w:t>
      </w:r>
      <w:r w:rsidR="006077CE" w:rsidRPr="00BC56F0">
        <w:rPr>
          <w:rFonts w:cs="Arial"/>
          <w:sz w:val="20"/>
          <w:szCs w:val="20"/>
        </w:rPr>
        <w:t xml:space="preserve"> to minimise the risk of unsuitable applicants being registered.’</w:t>
      </w:r>
    </w:p>
    <w:p w:rsidR="00BC56F0" w:rsidRDefault="00BC56F0" w:rsidP="00BC56F0">
      <w:pPr>
        <w:pStyle w:val="ListParagraph"/>
        <w:numPr>
          <w:ilvl w:val="0"/>
          <w:numId w:val="8"/>
        </w:numPr>
        <w:rPr>
          <w:rFonts w:cs="Arial"/>
          <w:sz w:val="20"/>
          <w:szCs w:val="20"/>
        </w:rPr>
      </w:pPr>
      <w:r>
        <w:rPr>
          <w:rFonts w:cs="Arial"/>
          <w:sz w:val="20"/>
          <w:szCs w:val="20"/>
        </w:rPr>
        <w:t>the potential impact on cost</w:t>
      </w:r>
      <w:r w:rsidR="00797ED4">
        <w:rPr>
          <w:rFonts w:cs="Arial"/>
          <w:sz w:val="20"/>
          <w:szCs w:val="20"/>
        </w:rPr>
        <w:t>s</w:t>
      </w:r>
      <w:r>
        <w:rPr>
          <w:rFonts w:cs="Arial"/>
          <w:sz w:val="20"/>
          <w:szCs w:val="20"/>
        </w:rPr>
        <w:t xml:space="preserve"> for currently registered practitioners</w:t>
      </w:r>
      <w:r w:rsidR="002617D4">
        <w:rPr>
          <w:rFonts w:cs="Arial"/>
          <w:sz w:val="20"/>
          <w:szCs w:val="20"/>
        </w:rPr>
        <w:t>, and</w:t>
      </w:r>
    </w:p>
    <w:p w:rsidR="00BC56F0" w:rsidRDefault="00BC56F0" w:rsidP="00BC56F0">
      <w:pPr>
        <w:pStyle w:val="ListParagraph"/>
        <w:numPr>
          <w:ilvl w:val="0"/>
          <w:numId w:val="8"/>
        </w:numPr>
        <w:rPr>
          <w:rFonts w:cs="Arial"/>
          <w:sz w:val="20"/>
          <w:szCs w:val="20"/>
        </w:rPr>
      </w:pPr>
      <w:r>
        <w:rPr>
          <w:rFonts w:cs="Arial"/>
          <w:sz w:val="20"/>
          <w:szCs w:val="20"/>
        </w:rPr>
        <w:t xml:space="preserve">the ability of AHPRA to address ‘the </w:t>
      </w:r>
      <w:r w:rsidRPr="0000218B">
        <w:rPr>
          <w:rFonts w:cs="Arial"/>
          <w:sz w:val="20"/>
          <w:szCs w:val="20"/>
        </w:rPr>
        <w:t xml:space="preserve">inherent challenges associated with obtaining documentation from some countries </w:t>
      </w:r>
      <w:r>
        <w:rPr>
          <w:rFonts w:cs="Arial"/>
          <w:sz w:val="20"/>
          <w:szCs w:val="20"/>
        </w:rPr>
        <w:t>[…]</w:t>
      </w:r>
      <w:r w:rsidRPr="0000218B">
        <w:rPr>
          <w:rFonts w:cs="Arial"/>
          <w:sz w:val="20"/>
          <w:szCs w:val="20"/>
        </w:rPr>
        <w:t xml:space="preserve"> and the potential for applicants to remain temporarily registered for a long period of time (if not permanently)</w:t>
      </w:r>
      <w:r>
        <w:rPr>
          <w:rFonts w:cs="Arial"/>
          <w:sz w:val="20"/>
          <w:szCs w:val="20"/>
        </w:rPr>
        <w:t>.’</w:t>
      </w:r>
    </w:p>
    <w:p w:rsidR="00952850" w:rsidRPr="00BC56F0" w:rsidRDefault="002617D4" w:rsidP="00461130">
      <w:pPr>
        <w:spacing w:after="120"/>
        <w:rPr>
          <w:rFonts w:cs="Arial"/>
          <w:sz w:val="20"/>
          <w:szCs w:val="20"/>
        </w:rPr>
      </w:pPr>
      <w:r>
        <w:rPr>
          <w:rFonts w:cs="Arial"/>
          <w:sz w:val="20"/>
          <w:szCs w:val="20"/>
        </w:rPr>
        <w:t>Other comments included:</w:t>
      </w:r>
    </w:p>
    <w:p w:rsidR="002617D4" w:rsidRDefault="000737A0" w:rsidP="00DC3647">
      <w:pPr>
        <w:pStyle w:val="ListParagraph"/>
        <w:numPr>
          <w:ilvl w:val="0"/>
          <w:numId w:val="8"/>
        </w:numPr>
        <w:rPr>
          <w:rFonts w:cs="Arial"/>
          <w:sz w:val="20"/>
          <w:szCs w:val="20"/>
        </w:rPr>
      </w:pPr>
      <w:r>
        <w:rPr>
          <w:rFonts w:cs="Arial"/>
          <w:sz w:val="20"/>
          <w:szCs w:val="20"/>
        </w:rPr>
        <w:t>a</w:t>
      </w:r>
      <w:r w:rsidR="002617D4">
        <w:rPr>
          <w:rFonts w:cs="Arial"/>
          <w:sz w:val="20"/>
          <w:szCs w:val="20"/>
        </w:rPr>
        <w:t xml:space="preserve"> suggestion from the Australian Nursing </w:t>
      </w:r>
      <w:r w:rsidR="002617D4" w:rsidRPr="0000218B">
        <w:rPr>
          <w:rFonts w:cs="Arial"/>
          <w:sz w:val="20"/>
          <w:szCs w:val="20"/>
        </w:rPr>
        <w:t>and Midwifery Federation</w:t>
      </w:r>
      <w:r w:rsidR="002617D4">
        <w:rPr>
          <w:rFonts w:cs="Arial"/>
          <w:sz w:val="20"/>
          <w:szCs w:val="20"/>
        </w:rPr>
        <w:t xml:space="preserve"> that there should be a provision for audit to act as a deterrent to fraudulent declarations. The </w:t>
      </w:r>
      <w:r w:rsidR="002617D4" w:rsidRPr="002617D4">
        <w:rPr>
          <w:rFonts w:cs="Arial"/>
          <w:sz w:val="20"/>
          <w:szCs w:val="20"/>
        </w:rPr>
        <w:t>Consumers Health Forum of Australia</w:t>
      </w:r>
      <w:r w:rsidR="002617D4">
        <w:rPr>
          <w:rFonts w:cs="Arial"/>
          <w:sz w:val="20"/>
          <w:szCs w:val="20"/>
        </w:rPr>
        <w:t xml:space="preserve"> also suggested that ‘</w:t>
      </w:r>
      <w:r w:rsidR="002617D4" w:rsidRPr="002617D4">
        <w:rPr>
          <w:rFonts w:cs="Arial"/>
          <w:sz w:val="20"/>
          <w:szCs w:val="20"/>
        </w:rPr>
        <w:t xml:space="preserve">AHPRA enact a more comprehensive provision that removes any </w:t>
      </w:r>
      <w:r w:rsidR="002617D4" w:rsidRPr="002617D4">
        <w:rPr>
          <w:rFonts w:cs="Arial"/>
          <w:sz w:val="20"/>
          <w:szCs w:val="20"/>
        </w:rPr>
        <w:lastRenderedPageBreak/>
        <w:t>loophole created by an applicant’s omission regarding working overseas and requiring an inter</w:t>
      </w:r>
      <w:r w:rsidR="000C5F11">
        <w:rPr>
          <w:rFonts w:cs="Arial"/>
          <w:sz w:val="20"/>
          <w:szCs w:val="20"/>
        </w:rPr>
        <w:t>national criminal history check.</w:t>
      </w:r>
      <w:r w:rsidR="002617D4">
        <w:rPr>
          <w:rFonts w:cs="Arial"/>
          <w:sz w:val="20"/>
          <w:szCs w:val="20"/>
        </w:rPr>
        <w:t>’</w:t>
      </w:r>
    </w:p>
    <w:p w:rsidR="00D04CF2" w:rsidRPr="000737A0" w:rsidRDefault="00906030" w:rsidP="005065A3">
      <w:pPr>
        <w:pStyle w:val="AHPRAsubheadinglevel20"/>
      </w:pPr>
      <w:r>
        <w:t xml:space="preserve">National Boards and </w:t>
      </w:r>
      <w:r w:rsidR="002A4F60">
        <w:t>AHPRA response to feedback</w:t>
      </w:r>
    </w:p>
    <w:p w:rsidR="004948F9" w:rsidRPr="006568EB" w:rsidRDefault="004948F9" w:rsidP="00AB05A0">
      <w:pPr>
        <w:spacing w:after="120"/>
        <w:rPr>
          <w:rFonts w:cs="Arial"/>
          <w:sz w:val="20"/>
          <w:szCs w:val="20"/>
        </w:rPr>
      </w:pPr>
      <w:r w:rsidRPr="006568EB">
        <w:rPr>
          <w:rFonts w:cs="Arial"/>
          <w:sz w:val="20"/>
          <w:szCs w:val="20"/>
        </w:rPr>
        <w:t>Balancing the feedback received during the consultations with the requirements and objectives of the National Law, AHPRA and the National Boards will pilot option 5 and evaluate its effectiveness after 12 months.</w:t>
      </w:r>
      <w:r w:rsidR="00AA3837" w:rsidRPr="006568EB">
        <w:rPr>
          <w:rFonts w:cs="Arial"/>
          <w:sz w:val="20"/>
          <w:szCs w:val="20"/>
        </w:rPr>
        <w:t xml:space="preserve"> This option will:</w:t>
      </w:r>
    </w:p>
    <w:p w:rsidR="000737A0" w:rsidRDefault="004948F9" w:rsidP="000737A0">
      <w:pPr>
        <w:pStyle w:val="ListParagraph"/>
        <w:numPr>
          <w:ilvl w:val="0"/>
          <w:numId w:val="8"/>
        </w:numPr>
        <w:rPr>
          <w:rFonts w:cs="Arial"/>
          <w:sz w:val="20"/>
          <w:szCs w:val="20"/>
        </w:rPr>
      </w:pPr>
      <w:r>
        <w:rPr>
          <w:rFonts w:cs="Arial"/>
          <w:sz w:val="20"/>
          <w:szCs w:val="20"/>
        </w:rPr>
        <w:t xml:space="preserve">not </w:t>
      </w:r>
      <w:r w:rsidR="000737A0">
        <w:rPr>
          <w:rFonts w:cs="Arial"/>
          <w:sz w:val="20"/>
          <w:szCs w:val="20"/>
        </w:rPr>
        <w:t>impact on registration fees for applicants not requiring a</w:t>
      </w:r>
      <w:r w:rsidR="00797ED4">
        <w:rPr>
          <w:rFonts w:cs="Arial"/>
          <w:sz w:val="20"/>
          <w:szCs w:val="20"/>
        </w:rPr>
        <w:t>n international</w:t>
      </w:r>
      <w:r w:rsidR="000737A0">
        <w:rPr>
          <w:rFonts w:cs="Arial"/>
          <w:sz w:val="20"/>
          <w:szCs w:val="20"/>
        </w:rPr>
        <w:t xml:space="preserve"> criminal history check</w:t>
      </w:r>
      <w:r w:rsidR="00D640B5">
        <w:rPr>
          <w:rFonts w:cs="Arial"/>
          <w:sz w:val="20"/>
          <w:szCs w:val="20"/>
        </w:rPr>
        <w:t>, and</w:t>
      </w:r>
    </w:p>
    <w:p w:rsidR="000737A0" w:rsidRDefault="000737A0" w:rsidP="000737A0">
      <w:pPr>
        <w:pStyle w:val="ListParagraph"/>
        <w:numPr>
          <w:ilvl w:val="0"/>
          <w:numId w:val="8"/>
        </w:numPr>
        <w:rPr>
          <w:rFonts w:cs="Arial"/>
          <w:sz w:val="20"/>
          <w:szCs w:val="20"/>
        </w:rPr>
      </w:pPr>
      <w:r>
        <w:rPr>
          <w:rFonts w:cs="Arial"/>
          <w:sz w:val="20"/>
          <w:szCs w:val="20"/>
        </w:rPr>
        <w:t>require</w:t>
      </w:r>
      <w:r w:rsidR="00AA3837">
        <w:rPr>
          <w:rFonts w:cs="Arial"/>
          <w:sz w:val="20"/>
          <w:szCs w:val="20"/>
        </w:rPr>
        <w:t xml:space="preserve"> </w:t>
      </w:r>
      <w:r>
        <w:rPr>
          <w:rFonts w:cs="Arial"/>
          <w:sz w:val="20"/>
          <w:szCs w:val="20"/>
        </w:rPr>
        <w:t>evidence from applicant</w:t>
      </w:r>
      <w:r w:rsidR="00797ED4">
        <w:rPr>
          <w:rFonts w:cs="Arial"/>
          <w:sz w:val="20"/>
          <w:szCs w:val="20"/>
        </w:rPr>
        <w:t>s who need an international criminal history check</w:t>
      </w:r>
      <w:r>
        <w:rPr>
          <w:rFonts w:cs="Arial"/>
          <w:sz w:val="20"/>
          <w:szCs w:val="20"/>
        </w:rPr>
        <w:t xml:space="preserve"> that they have applied for </w:t>
      </w:r>
      <w:r w:rsidR="00797ED4">
        <w:rPr>
          <w:rFonts w:cs="Arial"/>
          <w:sz w:val="20"/>
          <w:szCs w:val="20"/>
        </w:rPr>
        <w:t>the</w:t>
      </w:r>
      <w:r>
        <w:rPr>
          <w:rFonts w:cs="Arial"/>
          <w:sz w:val="20"/>
          <w:szCs w:val="20"/>
        </w:rPr>
        <w:t xml:space="preserve"> check when they submit their registration application</w:t>
      </w:r>
      <w:r w:rsidR="004948F9">
        <w:rPr>
          <w:rFonts w:cs="Arial"/>
          <w:sz w:val="20"/>
          <w:szCs w:val="20"/>
        </w:rPr>
        <w:t>.</w:t>
      </w:r>
    </w:p>
    <w:p w:rsidR="00157FA4" w:rsidRDefault="000737A0" w:rsidP="00164535">
      <w:pPr>
        <w:rPr>
          <w:rFonts w:cs="Arial"/>
          <w:sz w:val="20"/>
          <w:szCs w:val="20"/>
        </w:rPr>
      </w:pPr>
      <w:r>
        <w:rPr>
          <w:rFonts w:cs="Arial"/>
          <w:sz w:val="20"/>
          <w:szCs w:val="20"/>
        </w:rPr>
        <w:t>In most cases, the international criminal history check will be available by the time the registration application has been processed.</w:t>
      </w:r>
      <w:r w:rsidR="003B7CA3">
        <w:rPr>
          <w:rFonts w:cs="Arial"/>
          <w:sz w:val="20"/>
          <w:szCs w:val="20"/>
        </w:rPr>
        <w:t xml:space="preserve"> There is a small risk</w:t>
      </w:r>
      <w:r w:rsidR="00F05496" w:rsidRPr="00D640B5">
        <w:rPr>
          <w:rFonts w:cs="Arial"/>
          <w:sz w:val="20"/>
          <w:szCs w:val="20"/>
        </w:rPr>
        <w:t xml:space="preserve"> that a practitioner with a substantial criminal history will be registered for a short period of time before the </w:t>
      </w:r>
      <w:r w:rsidR="005A4885">
        <w:rPr>
          <w:rFonts w:cs="Arial"/>
          <w:sz w:val="20"/>
          <w:szCs w:val="20"/>
        </w:rPr>
        <w:t>international criminal history report is received</w:t>
      </w:r>
      <w:r w:rsidR="0092372B">
        <w:rPr>
          <w:rFonts w:cs="Arial"/>
          <w:sz w:val="20"/>
          <w:szCs w:val="20"/>
        </w:rPr>
        <w:t>.</w:t>
      </w:r>
      <w:r w:rsidR="00426CAA">
        <w:rPr>
          <w:rFonts w:cs="Arial"/>
          <w:sz w:val="20"/>
          <w:szCs w:val="20"/>
        </w:rPr>
        <w:t xml:space="preserve"> The number of cases where this might occur is expected to be small.</w:t>
      </w:r>
      <w:r w:rsidR="0092372B">
        <w:rPr>
          <w:rFonts w:cs="Arial"/>
          <w:sz w:val="20"/>
          <w:szCs w:val="20"/>
        </w:rPr>
        <w:t xml:space="preserve"> </w:t>
      </w:r>
      <w:r w:rsidR="00157FA4" w:rsidRPr="00D640B5">
        <w:rPr>
          <w:rFonts w:cs="Arial"/>
          <w:sz w:val="20"/>
          <w:szCs w:val="20"/>
        </w:rPr>
        <w:t xml:space="preserve">In </w:t>
      </w:r>
      <w:r w:rsidR="00426CAA">
        <w:rPr>
          <w:rFonts w:cs="Arial"/>
          <w:sz w:val="20"/>
          <w:szCs w:val="20"/>
        </w:rPr>
        <w:t xml:space="preserve">the event that </w:t>
      </w:r>
      <w:r w:rsidR="00157FA4" w:rsidRPr="00D640B5">
        <w:rPr>
          <w:rFonts w:cs="Arial"/>
          <w:sz w:val="20"/>
          <w:szCs w:val="20"/>
        </w:rPr>
        <w:t xml:space="preserve">the </w:t>
      </w:r>
      <w:r w:rsidR="005A4885">
        <w:rPr>
          <w:rFonts w:cs="Arial"/>
          <w:sz w:val="20"/>
          <w:szCs w:val="20"/>
        </w:rPr>
        <w:t xml:space="preserve">international criminal history report </w:t>
      </w:r>
      <w:r w:rsidR="00157FA4" w:rsidRPr="00D640B5">
        <w:rPr>
          <w:rFonts w:cs="Arial"/>
          <w:sz w:val="20"/>
          <w:szCs w:val="20"/>
        </w:rPr>
        <w:t>is not received before the application is determined, the applicant will be registered on the basis of a declaration about their international criminal history (as is the current approach)</w:t>
      </w:r>
      <w:r w:rsidR="00157FA4">
        <w:rPr>
          <w:rFonts w:cs="Arial"/>
          <w:sz w:val="20"/>
          <w:szCs w:val="20"/>
        </w:rPr>
        <w:t>.</w:t>
      </w:r>
      <w:r w:rsidR="008F1C40" w:rsidRPr="008F1C40">
        <w:rPr>
          <w:rFonts w:cs="Arial"/>
          <w:sz w:val="20"/>
          <w:szCs w:val="20"/>
        </w:rPr>
        <w:t xml:space="preserve"> </w:t>
      </w:r>
      <w:r w:rsidR="008F1C40">
        <w:rPr>
          <w:rFonts w:cs="Arial"/>
          <w:sz w:val="20"/>
          <w:szCs w:val="20"/>
        </w:rPr>
        <w:t>We will monitor this potential risk during the pilot approach and refine the process if needed.</w:t>
      </w:r>
    </w:p>
    <w:p w:rsidR="00157FA4" w:rsidRDefault="00157FA4" w:rsidP="00157FA4">
      <w:pPr>
        <w:rPr>
          <w:rFonts w:cs="Arial"/>
          <w:sz w:val="20"/>
          <w:szCs w:val="20"/>
        </w:rPr>
      </w:pPr>
      <w:r>
        <w:rPr>
          <w:rFonts w:cs="Arial"/>
          <w:sz w:val="20"/>
          <w:szCs w:val="20"/>
        </w:rPr>
        <w:t>We are confident that the proposed approach does not contravene the National Law. The National Law indicates that an applicant’s criminal history must be checked by the relevant National Board before deciding an application for registration, and suggests possible approaches to conducting criminal history checks.</w:t>
      </w:r>
      <w:r>
        <w:rPr>
          <w:rStyle w:val="FootnoteReference"/>
          <w:rFonts w:cs="Arial"/>
          <w:szCs w:val="20"/>
        </w:rPr>
        <w:footnoteReference w:id="3"/>
      </w:r>
      <w:r>
        <w:rPr>
          <w:rFonts w:cs="Arial"/>
          <w:sz w:val="20"/>
          <w:szCs w:val="20"/>
        </w:rPr>
        <w:t xml:space="preserve"> AHPRA and the National Boards consider that the applicant’s criminal history declaration will suffice as </w:t>
      </w:r>
      <w:r w:rsidR="005A4885">
        <w:rPr>
          <w:rFonts w:cs="Arial"/>
          <w:sz w:val="20"/>
          <w:szCs w:val="20"/>
        </w:rPr>
        <w:t>an indication</w:t>
      </w:r>
      <w:r>
        <w:rPr>
          <w:rFonts w:cs="Arial"/>
          <w:sz w:val="20"/>
          <w:szCs w:val="20"/>
        </w:rPr>
        <w:t xml:space="preserve"> of the applicant’s criminal history until the results of the domestic and international criminal history checks </w:t>
      </w:r>
      <w:r w:rsidRPr="005A4885">
        <w:rPr>
          <w:rFonts w:cs="Arial"/>
          <w:sz w:val="20"/>
          <w:szCs w:val="20"/>
        </w:rPr>
        <w:t>are provided.</w:t>
      </w:r>
      <w:r w:rsidR="00426CAA">
        <w:rPr>
          <w:rFonts w:cs="Arial"/>
          <w:sz w:val="20"/>
          <w:szCs w:val="20"/>
        </w:rPr>
        <w:t xml:space="preserve"> </w:t>
      </w:r>
    </w:p>
    <w:p w:rsidR="00EA457D" w:rsidRDefault="007E44F7" w:rsidP="008F1C40">
      <w:pPr>
        <w:rPr>
          <w:rFonts w:cs="Arial"/>
          <w:sz w:val="20"/>
          <w:szCs w:val="20"/>
        </w:rPr>
      </w:pPr>
      <w:r>
        <w:rPr>
          <w:rFonts w:cs="Arial"/>
          <w:sz w:val="20"/>
          <w:szCs w:val="20"/>
        </w:rPr>
        <w:t xml:space="preserve">The current approach to </w:t>
      </w:r>
      <w:r w:rsidRPr="00D640B5">
        <w:rPr>
          <w:rFonts w:cs="Arial"/>
          <w:sz w:val="20"/>
          <w:szCs w:val="20"/>
        </w:rPr>
        <w:t>checking international criminal history</w:t>
      </w:r>
      <w:r>
        <w:rPr>
          <w:rFonts w:cs="Arial"/>
          <w:sz w:val="20"/>
          <w:szCs w:val="20"/>
        </w:rPr>
        <w:t xml:space="preserve"> comprises registration </w:t>
      </w:r>
      <w:r w:rsidRPr="00D640B5">
        <w:rPr>
          <w:rFonts w:cs="Arial"/>
          <w:sz w:val="20"/>
          <w:szCs w:val="20"/>
        </w:rPr>
        <w:t>on the basis of the applicant’s declaration</w:t>
      </w:r>
      <w:r w:rsidR="00EA457D">
        <w:rPr>
          <w:rFonts w:cs="Arial"/>
          <w:sz w:val="20"/>
          <w:szCs w:val="20"/>
        </w:rPr>
        <w:t xml:space="preserve">, followed by possible audit of the </w:t>
      </w:r>
      <w:r>
        <w:rPr>
          <w:rFonts w:cs="Arial"/>
          <w:sz w:val="20"/>
          <w:szCs w:val="20"/>
        </w:rPr>
        <w:t xml:space="preserve">health practitioner’s compliance with the </w:t>
      </w:r>
      <w:r w:rsidR="0000295A" w:rsidRPr="0000295A">
        <w:rPr>
          <w:rFonts w:cs="Arial"/>
          <w:i/>
          <w:sz w:val="20"/>
          <w:szCs w:val="20"/>
        </w:rPr>
        <w:t>C</w:t>
      </w:r>
      <w:r w:rsidRPr="0000295A">
        <w:rPr>
          <w:rFonts w:cs="Arial"/>
          <w:i/>
          <w:sz w:val="20"/>
          <w:szCs w:val="20"/>
        </w:rPr>
        <w:t xml:space="preserve">riminal </w:t>
      </w:r>
      <w:r w:rsidR="00495817" w:rsidRPr="0000295A">
        <w:rPr>
          <w:rFonts w:cs="Arial"/>
          <w:i/>
          <w:sz w:val="20"/>
          <w:szCs w:val="20"/>
        </w:rPr>
        <w:t>h</w:t>
      </w:r>
      <w:r w:rsidRPr="0000295A">
        <w:rPr>
          <w:rFonts w:cs="Arial"/>
          <w:i/>
          <w:sz w:val="20"/>
          <w:szCs w:val="20"/>
        </w:rPr>
        <w:t xml:space="preserve">istory </w:t>
      </w:r>
      <w:r w:rsidR="00495817" w:rsidRPr="0000295A">
        <w:rPr>
          <w:rFonts w:cs="Arial"/>
          <w:i/>
          <w:sz w:val="20"/>
          <w:szCs w:val="20"/>
        </w:rPr>
        <w:t>r</w:t>
      </w:r>
      <w:r w:rsidRPr="0000295A">
        <w:rPr>
          <w:rFonts w:cs="Arial"/>
          <w:i/>
          <w:sz w:val="20"/>
          <w:szCs w:val="20"/>
        </w:rPr>
        <w:t xml:space="preserve">egistration </w:t>
      </w:r>
      <w:r w:rsidR="00495817" w:rsidRPr="0000295A">
        <w:rPr>
          <w:rFonts w:cs="Arial"/>
          <w:i/>
          <w:sz w:val="20"/>
          <w:szCs w:val="20"/>
        </w:rPr>
        <w:t>s</w:t>
      </w:r>
      <w:r w:rsidRPr="0000295A">
        <w:rPr>
          <w:rFonts w:cs="Arial"/>
          <w:i/>
          <w:sz w:val="20"/>
          <w:szCs w:val="20"/>
        </w:rPr>
        <w:t>tandard</w:t>
      </w:r>
      <w:r w:rsidR="00EA457D">
        <w:rPr>
          <w:rFonts w:cs="Arial"/>
          <w:sz w:val="20"/>
          <w:szCs w:val="20"/>
        </w:rPr>
        <w:t xml:space="preserve">. Option 5, </w:t>
      </w:r>
      <w:r w:rsidR="00634E84">
        <w:rPr>
          <w:rFonts w:cs="Arial"/>
          <w:sz w:val="20"/>
          <w:szCs w:val="20"/>
        </w:rPr>
        <w:t>in which</w:t>
      </w:r>
      <w:r w:rsidR="00EA457D">
        <w:rPr>
          <w:rFonts w:cs="Arial"/>
          <w:sz w:val="20"/>
          <w:szCs w:val="20"/>
        </w:rPr>
        <w:t xml:space="preserve"> international criminal his</w:t>
      </w:r>
      <w:r w:rsidR="0000295A">
        <w:rPr>
          <w:rFonts w:cs="Arial"/>
          <w:sz w:val="20"/>
          <w:szCs w:val="20"/>
        </w:rPr>
        <w:t>tory checks are conducted</w:t>
      </w:r>
      <w:r w:rsidR="005A4885">
        <w:rPr>
          <w:rFonts w:cs="Arial"/>
          <w:sz w:val="20"/>
          <w:szCs w:val="20"/>
        </w:rPr>
        <w:t xml:space="preserve"> for </w:t>
      </w:r>
      <w:r w:rsidR="0000295A">
        <w:rPr>
          <w:rFonts w:cs="Arial"/>
          <w:sz w:val="20"/>
          <w:szCs w:val="20"/>
        </w:rPr>
        <w:t xml:space="preserve">all </w:t>
      </w:r>
      <w:r w:rsidR="005A4885">
        <w:rPr>
          <w:rFonts w:cs="Arial"/>
          <w:sz w:val="20"/>
          <w:szCs w:val="20"/>
        </w:rPr>
        <w:t>applicants and existing registered health practitioners</w:t>
      </w:r>
      <w:r w:rsidR="0000295A">
        <w:rPr>
          <w:rFonts w:cs="Arial"/>
          <w:sz w:val="20"/>
          <w:szCs w:val="20"/>
        </w:rPr>
        <w:t xml:space="preserve"> when required</w:t>
      </w:r>
      <w:r w:rsidR="00EA457D">
        <w:rPr>
          <w:rFonts w:cs="Arial"/>
          <w:sz w:val="20"/>
          <w:szCs w:val="20"/>
        </w:rPr>
        <w:t xml:space="preserve">, </w:t>
      </w:r>
      <w:r w:rsidR="00AB5F8E" w:rsidRPr="00D640B5">
        <w:rPr>
          <w:rFonts w:cs="Arial"/>
          <w:sz w:val="20"/>
          <w:szCs w:val="20"/>
        </w:rPr>
        <w:t>represents a stronger approach</w:t>
      </w:r>
      <w:r w:rsidR="00EA457D">
        <w:rPr>
          <w:rFonts w:cs="Arial"/>
          <w:sz w:val="20"/>
          <w:szCs w:val="20"/>
        </w:rPr>
        <w:t>.</w:t>
      </w:r>
    </w:p>
    <w:p w:rsidR="00855125" w:rsidRPr="002569F7" w:rsidRDefault="008F1C40" w:rsidP="002569F7">
      <w:pPr>
        <w:rPr>
          <w:rFonts w:cs="Arial"/>
          <w:sz w:val="20"/>
          <w:szCs w:val="20"/>
        </w:rPr>
      </w:pPr>
      <w:r>
        <w:rPr>
          <w:rFonts w:cs="Arial"/>
          <w:sz w:val="20"/>
          <w:szCs w:val="20"/>
        </w:rPr>
        <w:t>T</w:t>
      </w:r>
      <w:r w:rsidRPr="00D640B5">
        <w:rPr>
          <w:rFonts w:cs="Arial"/>
          <w:sz w:val="20"/>
          <w:szCs w:val="20"/>
        </w:rPr>
        <w:t xml:space="preserve">he risk of registering a practitioner with a substantial criminal history </w:t>
      </w:r>
      <w:r>
        <w:rPr>
          <w:rFonts w:cs="Arial"/>
          <w:sz w:val="20"/>
          <w:szCs w:val="20"/>
        </w:rPr>
        <w:t>will be</w:t>
      </w:r>
      <w:r w:rsidRPr="00D640B5">
        <w:rPr>
          <w:rFonts w:cs="Arial"/>
          <w:sz w:val="20"/>
          <w:szCs w:val="20"/>
        </w:rPr>
        <w:t xml:space="preserve"> further reduced</w:t>
      </w:r>
      <w:r>
        <w:rPr>
          <w:rFonts w:cs="Arial"/>
          <w:sz w:val="20"/>
          <w:szCs w:val="20"/>
        </w:rPr>
        <w:t xml:space="preserve"> by the approach to implementing option 5</w:t>
      </w:r>
      <w:r w:rsidRPr="00D640B5">
        <w:rPr>
          <w:rFonts w:cs="Arial"/>
          <w:sz w:val="20"/>
          <w:szCs w:val="20"/>
        </w:rPr>
        <w:t>, as most other countries do not require international criminal history checks</w:t>
      </w:r>
      <w:r>
        <w:rPr>
          <w:rFonts w:cs="Arial"/>
          <w:sz w:val="20"/>
          <w:szCs w:val="20"/>
        </w:rPr>
        <w:t xml:space="preserve"> for health practitioners applying for registration</w:t>
      </w:r>
      <w:r w:rsidRPr="00D640B5">
        <w:rPr>
          <w:rFonts w:cs="Arial"/>
          <w:sz w:val="20"/>
          <w:szCs w:val="20"/>
        </w:rPr>
        <w:t xml:space="preserve">. </w:t>
      </w:r>
      <w:r>
        <w:rPr>
          <w:rFonts w:cs="Arial"/>
          <w:sz w:val="20"/>
          <w:szCs w:val="20"/>
        </w:rPr>
        <w:t xml:space="preserve">This should help achieve a </w:t>
      </w:r>
      <w:r w:rsidRPr="00164535">
        <w:rPr>
          <w:rFonts w:cs="Arial"/>
          <w:sz w:val="20"/>
          <w:szCs w:val="20"/>
        </w:rPr>
        <w:t xml:space="preserve">balance between public protection and workforce considerations </w:t>
      </w:r>
      <w:r>
        <w:rPr>
          <w:rFonts w:cs="Arial"/>
          <w:sz w:val="20"/>
          <w:szCs w:val="20"/>
        </w:rPr>
        <w:t>for</w:t>
      </w:r>
      <w:r w:rsidRPr="00164535">
        <w:rPr>
          <w:rFonts w:cs="Arial"/>
          <w:sz w:val="20"/>
          <w:szCs w:val="20"/>
        </w:rPr>
        <w:t xml:space="preserve"> </w:t>
      </w:r>
      <w:r>
        <w:rPr>
          <w:rFonts w:cs="Arial"/>
          <w:sz w:val="20"/>
          <w:szCs w:val="20"/>
        </w:rPr>
        <w:t>most</w:t>
      </w:r>
      <w:r w:rsidRPr="00164535">
        <w:rPr>
          <w:rFonts w:cs="Arial"/>
          <w:sz w:val="20"/>
          <w:szCs w:val="20"/>
        </w:rPr>
        <w:t xml:space="preserve"> respondents</w:t>
      </w:r>
      <w:r w:rsidR="0071344B">
        <w:rPr>
          <w:rFonts w:cs="Arial"/>
          <w:sz w:val="20"/>
          <w:szCs w:val="20"/>
        </w:rPr>
        <w:t xml:space="preserve"> to the consultation, an approach which also responds to the objectives and guiding principles of the </w:t>
      </w:r>
      <w:hyperlink r:id="rId12" w:history="1">
        <w:r w:rsidR="0071344B" w:rsidRPr="004B13A3">
          <w:rPr>
            <w:rStyle w:val="Hyperlink"/>
            <w:rFonts w:cs="Arial"/>
            <w:sz w:val="20"/>
            <w:szCs w:val="20"/>
          </w:rPr>
          <w:t>National Law</w:t>
        </w:r>
      </w:hyperlink>
      <w:r w:rsidR="0071344B">
        <w:rPr>
          <w:rFonts w:cs="Arial"/>
          <w:sz w:val="20"/>
          <w:szCs w:val="20"/>
        </w:rPr>
        <w:t xml:space="preserve"> and upholds our </w:t>
      </w:r>
      <w:hyperlink r:id="rId13" w:history="1">
        <w:r w:rsidR="0071344B" w:rsidRPr="004B13A3">
          <w:rPr>
            <w:rStyle w:val="Hyperlink"/>
            <w:rFonts w:cs="Arial"/>
            <w:sz w:val="20"/>
            <w:szCs w:val="20"/>
          </w:rPr>
          <w:t>regulatory principles</w:t>
        </w:r>
      </w:hyperlink>
      <w:r w:rsidRPr="00164535">
        <w:rPr>
          <w:rFonts w:cs="Arial"/>
          <w:sz w:val="20"/>
          <w:szCs w:val="20"/>
        </w:rPr>
        <w:t xml:space="preserve">. </w:t>
      </w:r>
    </w:p>
    <w:p w:rsidR="00DE4FF1" w:rsidRPr="002A4F60" w:rsidRDefault="00DE4FF1" w:rsidP="00947452">
      <w:pPr>
        <w:pStyle w:val="AHPRASubhead"/>
      </w:pPr>
      <w:r w:rsidRPr="002A4F60">
        <w:t>Is the proposed approach clear?</w:t>
      </w:r>
    </w:p>
    <w:p w:rsidR="002A4F60" w:rsidRPr="002A4F60" w:rsidRDefault="002A4F60" w:rsidP="002A4F60">
      <w:pPr>
        <w:pStyle w:val="AHPRASubheadinglevel2"/>
        <w:rPr>
          <w:rFonts w:cs="Arial"/>
          <w:b w:val="0"/>
          <w:szCs w:val="20"/>
        </w:rPr>
      </w:pPr>
      <w:r>
        <w:rPr>
          <w:rFonts w:cs="Arial"/>
          <w:b w:val="0"/>
          <w:szCs w:val="20"/>
        </w:rPr>
        <w:t>The majority of respondents indicated that the proposed approach was clear.</w:t>
      </w:r>
    </w:p>
    <w:p w:rsidR="002A4F60" w:rsidRPr="002A4F60" w:rsidRDefault="002A4F60" w:rsidP="002A4F60">
      <w:pPr>
        <w:rPr>
          <w:rFonts w:cs="Arial"/>
          <w:sz w:val="20"/>
          <w:szCs w:val="20"/>
        </w:rPr>
      </w:pPr>
      <w:r w:rsidRPr="002A4F60">
        <w:rPr>
          <w:rFonts w:cs="Arial"/>
          <w:sz w:val="20"/>
          <w:szCs w:val="20"/>
        </w:rPr>
        <w:t>On</w:t>
      </w:r>
      <w:r>
        <w:rPr>
          <w:rFonts w:cs="Arial"/>
          <w:sz w:val="20"/>
          <w:szCs w:val="20"/>
        </w:rPr>
        <w:t>e</w:t>
      </w:r>
      <w:r w:rsidRPr="002A4F60">
        <w:rPr>
          <w:rFonts w:cs="Arial"/>
          <w:sz w:val="20"/>
          <w:szCs w:val="20"/>
        </w:rPr>
        <w:t xml:space="preserve"> respo</w:t>
      </w:r>
      <w:r>
        <w:rPr>
          <w:rFonts w:cs="Arial"/>
          <w:sz w:val="20"/>
          <w:szCs w:val="20"/>
        </w:rPr>
        <w:t>ndent indicated that the process for cost recovery from practitioners who already hold registration may need to be clarified.</w:t>
      </w:r>
    </w:p>
    <w:p w:rsidR="00DB1979" w:rsidRPr="000737A0" w:rsidRDefault="00DB1979" w:rsidP="00DB1979">
      <w:pPr>
        <w:pStyle w:val="AHPRAsubheadinglevel20"/>
      </w:pPr>
      <w:r>
        <w:t>National Boards and AHPRA response to feedback</w:t>
      </w:r>
    </w:p>
    <w:p w:rsidR="00855125" w:rsidRPr="002569F7" w:rsidRDefault="002A4F60" w:rsidP="002569F7">
      <w:pPr>
        <w:rPr>
          <w:rFonts w:cs="Arial"/>
          <w:sz w:val="20"/>
          <w:szCs w:val="20"/>
        </w:rPr>
      </w:pPr>
      <w:r>
        <w:rPr>
          <w:rFonts w:cs="Arial"/>
          <w:sz w:val="20"/>
          <w:szCs w:val="20"/>
        </w:rPr>
        <w:t xml:space="preserve">AHPRA will </w:t>
      </w:r>
      <w:r w:rsidR="00906030">
        <w:rPr>
          <w:rFonts w:cs="Arial"/>
          <w:sz w:val="20"/>
          <w:szCs w:val="20"/>
        </w:rPr>
        <w:t>publish information about the cost recovery</w:t>
      </w:r>
      <w:r w:rsidR="00E450F2">
        <w:rPr>
          <w:rFonts w:cs="Arial"/>
          <w:sz w:val="20"/>
          <w:szCs w:val="20"/>
        </w:rPr>
        <w:t xml:space="preserve"> process</w:t>
      </w:r>
      <w:r w:rsidR="00906030">
        <w:rPr>
          <w:rFonts w:cs="Arial"/>
          <w:sz w:val="20"/>
          <w:szCs w:val="20"/>
        </w:rPr>
        <w:t xml:space="preserve"> for registered practitioners as part of </w:t>
      </w:r>
      <w:r>
        <w:rPr>
          <w:rFonts w:cs="Arial"/>
          <w:sz w:val="20"/>
          <w:szCs w:val="20"/>
        </w:rPr>
        <w:t>implementing option 5</w:t>
      </w:r>
      <w:r w:rsidR="00906030">
        <w:rPr>
          <w:rFonts w:cs="Arial"/>
          <w:sz w:val="20"/>
          <w:szCs w:val="20"/>
        </w:rPr>
        <w:t xml:space="preserve">. </w:t>
      </w:r>
    </w:p>
    <w:p w:rsidR="00DE4FF1" w:rsidRPr="002A4F60" w:rsidRDefault="00DE4FF1" w:rsidP="00947452">
      <w:pPr>
        <w:pStyle w:val="AHPRASubhead"/>
      </w:pPr>
      <w:r w:rsidRPr="002A4F60">
        <w:t>Are there any risks or issues about the proposed process that need more consideration?</w:t>
      </w:r>
    </w:p>
    <w:p w:rsidR="002A4F60" w:rsidRDefault="002A4F60" w:rsidP="002A4F60">
      <w:pPr>
        <w:pStyle w:val="AHPRASubheadinglevel2"/>
        <w:rPr>
          <w:rFonts w:cs="Arial"/>
          <w:b w:val="0"/>
          <w:szCs w:val="20"/>
        </w:rPr>
      </w:pPr>
      <w:r>
        <w:rPr>
          <w:rFonts w:cs="Arial"/>
          <w:b w:val="0"/>
          <w:szCs w:val="20"/>
        </w:rPr>
        <w:t>The majority of respondents indicated that there were not any risks or issues about the proposed process that needed more consideration.</w:t>
      </w:r>
    </w:p>
    <w:p w:rsidR="00DD441D" w:rsidRPr="002A4F60" w:rsidRDefault="00807F86" w:rsidP="002A4F60">
      <w:pPr>
        <w:rPr>
          <w:sz w:val="20"/>
          <w:szCs w:val="20"/>
        </w:rPr>
      </w:pPr>
      <w:r>
        <w:rPr>
          <w:sz w:val="20"/>
          <w:szCs w:val="20"/>
        </w:rPr>
        <w:lastRenderedPageBreak/>
        <w:t xml:space="preserve">Two respondents were interested to understand </w:t>
      </w:r>
      <w:r w:rsidR="00480F52">
        <w:rPr>
          <w:sz w:val="20"/>
          <w:szCs w:val="20"/>
        </w:rPr>
        <w:t>what</w:t>
      </w:r>
      <w:r>
        <w:rPr>
          <w:sz w:val="20"/>
          <w:szCs w:val="20"/>
        </w:rPr>
        <w:t xml:space="preserve"> process</w:t>
      </w:r>
      <w:r w:rsidR="00480F52">
        <w:rPr>
          <w:sz w:val="20"/>
          <w:szCs w:val="20"/>
        </w:rPr>
        <w:t xml:space="preserve"> would be followed</w:t>
      </w:r>
      <w:r>
        <w:rPr>
          <w:sz w:val="20"/>
          <w:szCs w:val="20"/>
        </w:rPr>
        <w:t xml:space="preserve"> if an international criminal history check revealed serious criminal history. </w:t>
      </w:r>
    </w:p>
    <w:p w:rsidR="00DB1979" w:rsidRPr="000737A0" w:rsidRDefault="00DB1979" w:rsidP="00DB1979">
      <w:pPr>
        <w:pStyle w:val="AHPRAsubheadinglevel20"/>
      </w:pPr>
      <w:r>
        <w:t>National Boards and AHPRA response to feedback</w:t>
      </w:r>
    </w:p>
    <w:p w:rsidR="000F16FA" w:rsidRDefault="00324EF7" w:rsidP="005065A3">
      <w:pPr>
        <w:rPr>
          <w:sz w:val="20"/>
          <w:szCs w:val="20"/>
        </w:rPr>
      </w:pPr>
      <w:r>
        <w:rPr>
          <w:rFonts w:cs="Arial"/>
          <w:sz w:val="20"/>
          <w:szCs w:val="20"/>
        </w:rPr>
        <w:t>In most cases, the results of an applicant’s international criminal history check will be available before they are granted registration</w:t>
      </w:r>
      <w:r w:rsidR="009464D3">
        <w:rPr>
          <w:rFonts w:cs="Arial"/>
          <w:sz w:val="20"/>
          <w:szCs w:val="20"/>
        </w:rPr>
        <w:t xml:space="preserve"> and will be taken into account considering the factors in the Criminal History Registration Standard in the usual way</w:t>
      </w:r>
      <w:r>
        <w:rPr>
          <w:rFonts w:cs="Arial"/>
          <w:sz w:val="20"/>
          <w:szCs w:val="20"/>
        </w:rPr>
        <w:t xml:space="preserve">. In any cases where a practitioner is registered before the results of their international criminal history check are available, any checks that show criminal convictions </w:t>
      </w:r>
      <w:r w:rsidR="0036001A" w:rsidRPr="0000218B">
        <w:rPr>
          <w:rFonts w:cs="Arial"/>
          <w:sz w:val="20"/>
          <w:szCs w:val="20"/>
        </w:rPr>
        <w:t>will be addressed as a priority</w:t>
      </w:r>
      <w:r>
        <w:rPr>
          <w:rFonts w:cs="Arial"/>
          <w:sz w:val="20"/>
          <w:szCs w:val="20"/>
        </w:rPr>
        <w:t>.</w:t>
      </w:r>
      <w:r w:rsidR="00807F86">
        <w:rPr>
          <w:rFonts w:cs="Arial"/>
          <w:sz w:val="20"/>
          <w:szCs w:val="20"/>
        </w:rPr>
        <w:t xml:space="preserve"> </w:t>
      </w:r>
      <w:r w:rsidR="000F16FA">
        <w:rPr>
          <w:sz w:val="20"/>
          <w:szCs w:val="20"/>
        </w:rPr>
        <w:t xml:space="preserve">When a check result is returned with criminal history information, AHPRA conducts an assessment of the criminal history information as to any potential impact the information may have on an applicant/registrant’s suitability for registration/renewal and provides advice to the relevant Board. </w:t>
      </w:r>
    </w:p>
    <w:p w:rsidR="00EA457D" w:rsidRDefault="009464D3" w:rsidP="002569F7">
      <w:r>
        <w:rPr>
          <w:rFonts w:cs="Arial"/>
          <w:sz w:val="20"/>
          <w:szCs w:val="20"/>
        </w:rPr>
        <w:t>Further i</w:t>
      </w:r>
      <w:r w:rsidR="00807F86">
        <w:rPr>
          <w:rFonts w:cs="Arial"/>
          <w:sz w:val="20"/>
          <w:szCs w:val="20"/>
        </w:rPr>
        <w:t>nformation about th</w:t>
      </w:r>
      <w:r w:rsidR="00D9029B">
        <w:rPr>
          <w:rFonts w:cs="Arial"/>
          <w:sz w:val="20"/>
          <w:szCs w:val="20"/>
        </w:rPr>
        <w:t>is</w:t>
      </w:r>
      <w:r w:rsidR="00807F86">
        <w:rPr>
          <w:rFonts w:cs="Arial"/>
          <w:sz w:val="20"/>
          <w:szCs w:val="20"/>
        </w:rPr>
        <w:t xml:space="preserve"> process </w:t>
      </w:r>
      <w:r w:rsidR="000F16FA">
        <w:rPr>
          <w:rFonts w:cs="Arial"/>
          <w:sz w:val="20"/>
          <w:szCs w:val="20"/>
        </w:rPr>
        <w:t xml:space="preserve">will be published on the </w:t>
      </w:r>
      <w:r w:rsidR="009636B8">
        <w:rPr>
          <w:rFonts w:cs="Arial"/>
          <w:sz w:val="20"/>
          <w:szCs w:val="20"/>
        </w:rPr>
        <w:t xml:space="preserve">National Boards </w:t>
      </w:r>
      <w:r w:rsidR="000F16FA">
        <w:rPr>
          <w:rFonts w:cs="Arial"/>
          <w:sz w:val="20"/>
          <w:szCs w:val="20"/>
        </w:rPr>
        <w:t>and AHPRA websites</w:t>
      </w:r>
      <w:r w:rsidR="00D9029B">
        <w:rPr>
          <w:rFonts w:cs="Arial"/>
          <w:sz w:val="20"/>
          <w:szCs w:val="20"/>
        </w:rPr>
        <w:t xml:space="preserve"> as part of the pilot</w:t>
      </w:r>
      <w:r w:rsidR="000F16FA">
        <w:rPr>
          <w:rFonts w:cs="Arial"/>
          <w:sz w:val="20"/>
          <w:szCs w:val="20"/>
        </w:rPr>
        <w:t xml:space="preserve">. </w:t>
      </w:r>
    </w:p>
    <w:p w:rsidR="00DE4FF1" w:rsidRPr="002A4F60" w:rsidRDefault="00DE4FF1" w:rsidP="00AB05A0">
      <w:pPr>
        <w:pStyle w:val="AHPRASubhead"/>
        <w:spacing w:after="120"/>
      </w:pPr>
      <w:r w:rsidRPr="002A4F60">
        <w:t>Should international criminal history checks be conducted for countries where applicants have spent three months or more, or six months or more?</w:t>
      </w:r>
    </w:p>
    <w:p w:rsidR="008C7C56" w:rsidRPr="005F689D" w:rsidRDefault="008C7C56" w:rsidP="008C7C56">
      <w:pPr>
        <w:rPr>
          <w:rFonts w:cs="Arial"/>
          <w:sz w:val="20"/>
          <w:szCs w:val="20"/>
        </w:rPr>
      </w:pPr>
      <w:r>
        <w:rPr>
          <w:rFonts w:cs="Arial"/>
          <w:sz w:val="20"/>
          <w:szCs w:val="20"/>
        </w:rPr>
        <w:t>While many respondents were</w:t>
      </w:r>
      <w:r w:rsidR="00AA373C">
        <w:rPr>
          <w:rFonts w:cs="Arial"/>
          <w:sz w:val="20"/>
          <w:szCs w:val="20"/>
        </w:rPr>
        <w:t xml:space="preserve"> </w:t>
      </w:r>
      <w:r w:rsidR="005F689D" w:rsidRPr="005A2E6D">
        <w:rPr>
          <w:rFonts w:cs="Arial"/>
          <w:sz w:val="20"/>
          <w:szCs w:val="20"/>
        </w:rPr>
        <w:t>in favour of international criminal history checks being conducted for countries where applicants</w:t>
      </w:r>
      <w:r w:rsidR="005A2E6D">
        <w:rPr>
          <w:rFonts w:cs="Arial"/>
          <w:sz w:val="20"/>
          <w:szCs w:val="20"/>
        </w:rPr>
        <w:t xml:space="preserve"> had spent three months or more</w:t>
      </w:r>
      <w:r>
        <w:rPr>
          <w:rFonts w:cs="Arial"/>
          <w:sz w:val="20"/>
          <w:szCs w:val="20"/>
        </w:rPr>
        <w:t xml:space="preserve">, the </w:t>
      </w:r>
      <w:r w:rsidRPr="005F689D">
        <w:rPr>
          <w:rFonts w:cs="Arial"/>
          <w:sz w:val="20"/>
          <w:szCs w:val="20"/>
        </w:rPr>
        <w:t>majority of respondents support</w:t>
      </w:r>
      <w:r w:rsidR="009636B8">
        <w:rPr>
          <w:rFonts w:cs="Arial"/>
          <w:sz w:val="20"/>
          <w:szCs w:val="20"/>
        </w:rPr>
        <w:t>ed</w:t>
      </w:r>
      <w:r w:rsidRPr="005F689D">
        <w:rPr>
          <w:rFonts w:cs="Arial"/>
          <w:sz w:val="20"/>
          <w:szCs w:val="20"/>
        </w:rPr>
        <w:t xml:space="preserve"> </w:t>
      </w:r>
      <w:r>
        <w:rPr>
          <w:rFonts w:cs="Arial"/>
          <w:sz w:val="20"/>
          <w:szCs w:val="20"/>
        </w:rPr>
        <w:t>these</w:t>
      </w:r>
      <w:r w:rsidRPr="005F689D">
        <w:rPr>
          <w:rFonts w:cs="Arial"/>
          <w:sz w:val="20"/>
          <w:szCs w:val="20"/>
        </w:rPr>
        <w:t xml:space="preserve"> checks being conducted for countries</w:t>
      </w:r>
      <w:r>
        <w:rPr>
          <w:rFonts w:cs="Arial"/>
          <w:sz w:val="20"/>
          <w:szCs w:val="20"/>
        </w:rPr>
        <w:t xml:space="preserve"> where applicants had spent six months or more.</w:t>
      </w:r>
    </w:p>
    <w:p w:rsidR="00DB1979" w:rsidRPr="000737A0" w:rsidRDefault="00DB1979" w:rsidP="00DB1979">
      <w:pPr>
        <w:pStyle w:val="AHPRAsubheadinglevel20"/>
      </w:pPr>
      <w:r>
        <w:t>National Boards and AHPRA response to feedback</w:t>
      </w:r>
    </w:p>
    <w:p w:rsidR="00EA457D" w:rsidRPr="002569F7" w:rsidRDefault="008C7C56" w:rsidP="002569F7">
      <w:pPr>
        <w:pStyle w:val="AHPRASubheadinglevel2"/>
        <w:rPr>
          <w:rFonts w:cs="Arial"/>
          <w:b w:val="0"/>
          <w:szCs w:val="20"/>
        </w:rPr>
      </w:pPr>
      <w:r w:rsidRPr="007710B6">
        <w:rPr>
          <w:rFonts w:cs="Arial"/>
          <w:b w:val="0"/>
          <w:szCs w:val="20"/>
        </w:rPr>
        <w:t>As there was slightly more support for international criminal history checks being conducted for countries where applicants had spent six months or more, the pilot approach</w:t>
      </w:r>
      <w:r w:rsidR="009636B8" w:rsidRPr="007710B6">
        <w:rPr>
          <w:rFonts w:cs="Arial"/>
          <w:b w:val="0"/>
          <w:szCs w:val="20"/>
        </w:rPr>
        <w:t xml:space="preserve"> will use this option</w:t>
      </w:r>
      <w:r w:rsidRPr="007710B6">
        <w:rPr>
          <w:rFonts w:cs="Arial"/>
          <w:b w:val="0"/>
          <w:szCs w:val="20"/>
        </w:rPr>
        <w:t>.</w:t>
      </w:r>
      <w:r w:rsidR="00CE18B8" w:rsidRPr="007710B6" w:rsidDel="00CE18B8">
        <w:rPr>
          <w:rFonts w:cs="Arial"/>
          <w:b w:val="0"/>
          <w:szCs w:val="20"/>
        </w:rPr>
        <w:t xml:space="preserve"> </w:t>
      </w:r>
    </w:p>
    <w:p w:rsidR="00DE4FF1" w:rsidRPr="002A4F60" w:rsidRDefault="00DE4FF1" w:rsidP="00AB05A0">
      <w:pPr>
        <w:pStyle w:val="AHPRASubhead"/>
        <w:spacing w:after="120"/>
      </w:pPr>
      <w:r w:rsidRPr="002A4F60">
        <w:t>Do you have any other comments?</w:t>
      </w:r>
    </w:p>
    <w:p w:rsidR="00D179BE" w:rsidRDefault="009464D3" w:rsidP="00A144E7">
      <w:pPr>
        <w:rPr>
          <w:rFonts w:cs="Arial"/>
          <w:sz w:val="20"/>
          <w:szCs w:val="20"/>
        </w:rPr>
      </w:pPr>
      <w:r>
        <w:rPr>
          <w:rFonts w:cs="Arial"/>
          <w:sz w:val="20"/>
          <w:szCs w:val="20"/>
        </w:rPr>
        <w:t xml:space="preserve">Other issues raised in submissions and </w:t>
      </w:r>
      <w:r w:rsidR="00735D09" w:rsidRPr="00735D09">
        <w:rPr>
          <w:rFonts w:cs="Arial"/>
          <w:sz w:val="20"/>
          <w:szCs w:val="20"/>
        </w:rPr>
        <w:t xml:space="preserve">National Boards and AHPRA response </w:t>
      </w:r>
      <w:r w:rsidR="009D2E8B">
        <w:rPr>
          <w:rFonts w:cs="Arial"/>
          <w:sz w:val="20"/>
          <w:szCs w:val="20"/>
        </w:rPr>
        <w:t xml:space="preserve">is </w:t>
      </w:r>
      <w:r>
        <w:rPr>
          <w:rFonts w:cs="Arial"/>
          <w:sz w:val="20"/>
          <w:szCs w:val="20"/>
        </w:rPr>
        <w:t xml:space="preserve">summarised </w:t>
      </w:r>
      <w:r w:rsidR="009D2E8B">
        <w:rPr>
          <w:rFonts w:cs="Arial"/>
          <w:sz w:val="20"/>
          <w:szCs w:val="20"/>
        </w:rPr>
        <w:t>below:</w:t>
      </w:r>
    </w:p>
    <w:tbl>
      <w:tblPr>
        <w:tblStyle w:val="TableGrid"/>
        <w:tblW w:w="0" w:type="auto"/>
        <w:tblLook w:val="04A0" w:firstRow="1" w:lastRow="0" w:firstColumn="1" w:lastColumn="0" w:noHBand="0" w:noVBand="1"/>
      </w:tblPr>
      <w:tblGrid>
        <w:gridCol w:w="4811"/>
        <w:gridCol w:w="4811"/>
      </w:tblGrid>
      <w:tr w:rsidR="00A96027" w:rsidTr="009D2E8B">
        <w:trPr>
          <w:trHeight w:val="639"/>
        </w:trPr>
        <w:tc>
          <w:tcPr>
            <w:tcW w:w="4811" w:type="dxa"/>
          </w:tcPr>
          <w:p w:rsidR="00A96027" w:rsidRPr="009D2E8B" w:rsidRDefault="00735D09" w:rsidP="009464D3">
            <w:pPr>
              <w:rPr>
                <w:rFonts w:cs="Arial"/>
                <w:b/>
                <w:sz w:val="20"/>
                <w:szCs w:val="20"/>
              </w:rPr>
            </w:pPr>
            <w:r w:rsidRPr="00735D09">
              <w:rPr>
                <w:rFonts w:cs="Arial"/>
                <w:b/>
                <w:sz w:val="20"/>
                <w:szCs w:val="20"/>
              </w:rPr>
              <w:t>Comment</w:t>
            </w:r>
          </w:p>
        </w:tc>
        <w:tc>
          <w:tcPr>
            <w:tcW w:w="4811" w:type="dxa"/>
          </w:tcPr>
          <w:p w:rsidR="00C04FA5" w:rsidRDefault="00A96027">
            <w:pPr>
              <w:pStyle w:val="AHPRAsubheadinglevel20"/>
            </w:pPr>
            <w:r>
              <w:t>National Boards and AHPRA response</w:t>
            </w:r>
          </w:p>
        </w:tc>
      </w:tr>
      <w:tr w:rsidR="00A96027" w:rsidTr="00A96027">
        <w:tc>
          <w:tcPr>
            <w:tcW w:w="4811" w:type="dxa"/>
          </w:tcPr>
          <w:p w:rsidR="00A96027" w:rsidRDefault="00615E5A" w:rsidP="001D1D13">
            <w:pPr>
              <w:pStyle w:val="AHPRAsubheadinglevel20"/>
            </w:pPr>
            <w:r>
              <w:t>Will t</w:t>
            </w:r>
            <w:r w:rsidR="00A96027">
              <w:t>ime</w:t>
            </w:r>
            <w:r w:rsidR="00A96027" w:rsidRPr="0000218B">
              <w:t xml:space="preserve"> limits </w:t>
            </w:r>
            <w:r>
              <w:t xml:space="preserve">be </w:t>
            </w:r>
            <w:r w:rsidR="00A96027" w:rsidRPr="0000218B">
              <w:t>placed on intern</w:t>
            </w:r>
            <w:r w:rsidR="00A96027">
              <w:t>ational criminal history checks</w:t>
            </w:r>
            <w:r>
              <w:t>?</w:t>
            </w:r>
          </w:p>
        </w:tc>
        <w:tc>
          <w:tcPr>
            <w:tcW w:w="4811" w:type="dxa"/>
          </w:tcPr>
          <w:p w:rsidR="00A96027" w:rsidRDefault="009464D3" w:rsidP="009464D3">
            <w:pPr>
              <w:rPr>
                <w:rFonts w:cs="Arial"/>
                <w:sz w:val="20"/>
                <w:szCs w:val="20"/>
              </w:rPr>
            </w:pPr>
            <w:r>
              <w:rPr>
                <w:rFonts w:cs="Arial"/>
                <w:sz w:val="20"/>
                <w:szCs w:val="20"/>
              </w:rPr>
              <w:t xml:space="preserve">There will be </w:t>
            </w:r>
            <w:r w:rsidR="00D179BE">
              <w:rPr>
                <w:rFonts w:cs="Arial"/>
                <w:sz w:val="20"/>
                <w:szCs w:val="20"/>
              </w:rPr>
              <w:t>no time limits on international criminal history checks</w:t>
            </w:r>
            <w:r w:rsidR="00D179BE" w:rsidRPr="00591C5D">
              <w:rPr>
                <w:rFonts w:cs="Arial"/>
                <w:sz w:val="20"/>
                <w:szCs w:val="20"/>
              </w:rPr>
              <w:t xml:space="preserve"> consistent with the approach to </w:t>
            </w:r>
            <w:r>
              <w:rPr>
                <w:rFonts w:cs="Arial"/>
                <w:sz w:val="20"/>
                <w:szCs w:val="20"/>
              </w:rPr>
              <w:t>domestic criminal history checks.</w:t>
            </w:r>
          </w:p>
        </w:tc>
      </w:tr>
      <w:tr w:rsidR="00A96027" w:rsidTr="00A96027">
        <w:tc>
          <w:tcPr>
            <w:tcW w:w="4811" w:type="dxa"/>
          </w:tcPr>
          <w:p w:rsidR="00A96027" w:rsidRPr="0000218B" w:rsidRDefault="00A96027" w:rsidP="00A96027">
            <w:pPr>
              <w:pStyle w:val="AHPRAsubheadinglevel20"/>
            </w:pPr>
            <w:r>
              <w:t>External</w:t>
            </w:r>
            <w:r w:rsidRPr="0000218B">
              <w:t xml:space="preserve"> </w:t>
            </w:r>
            <w:r>
              <w:t>providers</w:t>
            </w:r>
            <w:r w:rsidRPr="0000218B">
              <w:t xml:space="preserve"> </w:t>
            </w:r>
            <w:r>
              <w:t>undertaking criminal history checks</w:t>
            </w:r>
          </w:p>
          <w:p w:rsidR="00A96027" w:rsidRDefault="00A96027" w:rsidP="00A144E7">
            <w:pPr>
              <w:rPr>
                <w:rFonts w:cs="Arial"/>
                <w:sz w:val="20"/>
                <w:szCs w:val="20"/>
              </w:rPr>
            </w:pPr>
          </w:p>
        </w:tc>
        <w:tc>
          <w:tcPr>
            <w:tcW w:w="4811" w:type="dxa"/>
          </w:tcPr>
          <w:p w:rsidR="00A96027" w:rsidRDefault="009464D3" w:rsidP="009464D3">
            <w:pPr>
              <w:rPr>
                <w:rFonts w:cs="Arial"/>
                <w:sz w:val="20"/>
                <w:szCs w:val="20"/>
              </w:rPr>
            </w:pPr>
            <w:r>
              <w:rPr>
                <w:rFonts w:cs="Arial"/>
                <w:sz w:val="20"/>
                <w:szCs w:val="20"/>
              </w:rPr>
              <w:t>Identifying</w:t>
            </w:r>
            <w:r w:rsidR="00D179BE" w:rsidRPr="00591C5D">
              <w:rPr>
                <w:rFonts w:cs="Arial"/>
                <w:sz w:val="20"/>
                <w:szCs w:val="20"/>
              </w:rPr>
              <w:t xml:space="preserve"> a suitable external provider is </w:t>
            </w:r>
            <w:r>
              <w:rPr>
                <w:rFonts w:cs="Arial"/>
                <w:sz w:val="20"/>
                <w:szCs w:val="20"/>
              </w:rPr>
              <w:t xml:space="preserve">a critical aspect of effective implementation. </w:t>
            </w:r>
            <w:r w:rsidR="00D179BE" w:rsidRPr="00591C5D">
              <w:rPr>
                <w:rFonts w:cs="Arial"/>
                <w:sz w:val="20"/>
                <w:szCs w:val="20"/>
              </w:rPr>
              <w:t xml:space="preserve"> </w:t>
            </w:r>
            <w:r>
              <w:rPr>
                <w:rFonts w:cs="Arial"/>
                <w:sz w:val="20"/>
                <w:szCs w:val="20"/>
              </w:rPr>
              <w:t>AHPRA</w:t>
            </w:r>
            <w:r w:rsidR="00D179BE" w:rsidRPr="00591C5D">
              <w:rPr>
                <w:rFonts w:cs="Arial"/>
                <w:sz w:val="20"/>
                <w:szCs w:val="20"/>
              </w:rPr>
              <w:t xml:space="preserve"> will ensure that the selection process is open and thorough, and that the provider</w:t>
            </w:r>
            <w:r>
              <w:rPr>
                <w:rFonts w:cs="Arial"/>
                <w:sz w:val="20"/>
                <w:szCs w:val="20"/>
              </w:rPr>
              <w:t>(s)</w:t>
            </w:r>
            <w:r w:rsidR="00D179BE" w:rsidRPr="00591C5D">
              <w:rPr>
                <w:rFonts w:cs="Arial"/>
                <w:sz w:val="20"/>
                <w:szCs w:val="20"/>
              </w:rPr>
              <w:t xml:space="preserve"> selected will offer value for money.</w:t>
            </w:r>
          </w:p>
        </w:tc>
      </w:tr>
      <w:tr w:rsidR="00A96027" w:rsidTr="00A96027">
        <w:tc>
          <w:tcPr>
            <w:tcW w:w="4811" w:type="dxa"/>
          </w:tcPr>
          <w:p w:rsidR="00C04FA5" w:rsidRDefault="00615E5A">
            <w:pPr>
              <w:pStyle w:val="AHPRAsubheadinglevel20"/>
            </w:pPr>
            <w:r>
              <w:t>Is there</w:t>
            </w:r>
            <w:r w:rsidR="00A96027" w:rsidRPr="0000218B">
              <w:t xml:space="preserve"> potential to collaborate with the Department of Immigration and Border Protection (DIBP) in relation to intern</w:t>
            </w:r>
            <w:r w:rsidR="00A96027">
              <w:t>ational criminal history checks</w:t>
            </w:r>
            <w:r w:rsidR="00CD6EA0">
              <w:t xml:space="preserve"> (to avoid duplication or additional cost to applicants, for example)</w:t>
            </w:r>
            <w:r>
              <w:t>?</w:t>
            </w:r>
          </w:p>
        </w:tc>
        <w:tc>
          <w:tcPr>
            <w:tcW w:w="4811" w:type="dxa"/>
          </w:tcPr>
          <w:p w:rsidR="00C04FA5" w:rsidRDefault="00D179BE" w:rsidP="009464D3">
            <w:pPr>
              <w:pStyle w:val="AHPRAsubheadinglevel20"/>
            </w:pPr>
            <w:r w:rsidRPr="00D67C29">
              <w:rPr>
                <w:b w:val="0"/>
              </w:rPr>
              <w:t xml:space="preserve">AHPRA will </w:t>
            </w:r>
            <w:r>
              <w:rPr>
                <w:b w:val="0"/>
              </w:rPr>
              <w:t xml:space="preserve">liaise with </w:t>
            </w:r>
            <w:r w:rsidRPr="00D67C29">
              <w:rPr>
                <w:b w:val="0"/>
              </w:rPr>
              <w:t xml:space="preserve">external agencies to </w:t>
            </w:r>
            <w:r w:rsidR="009464D3">
              <w:rPr>
                <w:b w:val="0"/>
              </w:rPr>
              <w:t>explore any potential for collaboration</w:t>
            </w:r>
            <w:r w:rsidRPr="00D67C29">
              <w:rPr>
                <w:b w:val="0"/>
              </w:rPr>
              <w:t>.</w:t>
            </w:r>
          </w:p>
        </w:tc>
      </w:tr>
      <w:tr w:rsidR="00A96027" w:rsidTr="00A96027">
        <w:tc>
          <w:tcPr>
            <w:tcW w:w="4811" w:type="dxa"/>
          </w:tcPr>
          <w:p w:rsidR="00A96027" w:rsidRPr="006A4F81" w:rsidRDefault="00A96027" w:rsidP="00A96027">
            <w:pPr>
              <w:pStyle w:val="AHPRAsubheadinglevel20"/>
            </w:pPr>
            <w:r>
              <w:t>F</w:t>
            </w:r>
            <w:r w:rsidRPr="006A4F81">
              <w:t>raudulent declarations</w:t>
            </w:r>
          </w:p>
          <w:p w:rsidR="00A96027" w:rsidRDefault="00A96027" w:rsidP="00A144E7">
            <w:pPr>
              <w:rPr>
                <w:rFonts w:cs="Arial"/>
                <w:sz w:val="20"/>
                <w:szCs w:val="20"/>
              </w:rPr>
            </w:pPr>
          </w:p>
        </w:tc>
        <w:tc>
          <w:tcPr>
            <w:tcW w:w="4811" w:type="dxa"/>
          </w:tcPr>
          <w:p w:rsidR="00D179BE" w:rsidRPr="00A52FA9" w:rsidRDefault="00D179BE" w:rsidP="00D179BE">
            <w:pPr>
              <w:rPr>
                <w:rFonts w:cs="Arial"/>
                <w:sz w:val="20"/>
                <w:szCs w:val="20"/>
              </w:rPr>
            </w:pPr>
            <w:r w:rsidRPr="00A52FA9">
              <w:rPr>
                <w:rFonts w:cs="Arial"/>
                <w:sz w:val="20"/>
                <w:szCs w:val="20"/>
              </w:rPr>
              <w:t xml:space="preserve">Fraudulent declarations will be mitigated by the requirement for applicants to provide </w:t>
            </w:r>
            <w:r>
              <w:rPr>
                <w:rFonts w:cs="Arial"/>
                <w:sz w:val="20"/>
                <w:szCs w:val="20"/>
              </w:rPr>
              <w:t xml:space="preserve">a </w:t>
            </w:r>
            <w:r w:rsidRPr="00A52FA9">
              <w:rPr>
                <w:rFonts w:cs="Arial"/>
                <w:sz w:val="20"/>
                <w:szCs w:val="20"/>
              </w:rPr>
              <w:t>curriculum vitae which will be checked against their declaration of the countries where they have resided.</w:t>
            </w:r>
          </w:p>
          <w:p w:rsidR="00A96027" w:rsidRDefault="00D179BE" w:rsidP="00A144E7">
            <w:pPr>
              <w:rPr>
                <w:rFonts w:cs="Arial"/>
                <w:sz w:val="20"/>
                <w:szCs w:val="20"/>
              </w:rPr>
            </w:pPr>
            <w:r w:rsidRPr="00A52FA9">
              <w:rPr>
                <w:rFonts w:cs="Arial"/>
                <w:sz w:val="20"/>
                <w:szCs w:val="20"/>
              </w:rPr>
              <w:t xml:space="preserve">Auditing </w:t>
            </w:r>
            <w:r>
              <w:rPr>
                <w:rFonts w:cs="Arial"/>
                <w:sz w:val="20"/>
                <w:szCs w:val="20"/>
              </w:rPr>
              <w:t>registered health practitioners</w:t>
            </w:r>
            <w:r w:rsidRPr="00A52FA9">
              <w:rPr>
                <w:rFonts w:cs="Arial"/>
                <w:sz w:val="20"/>
                <w:szCs w:val="20"/>
              </w:rPr>
              <w:t xml:space="preserve"> will also provide another level of security.</w:t>
            </w:r>
          </w:p>
        </w:tc>
      </w:tr>
      <w:tr w:rsidR="00A96027" w:rsidTr="00A96027">
        <w:tc>
          <w:tcPr>
            <w:tcW w:w="4811" w:type="dxa"/>
          </w:tcPr>
          <w:p w:rsidR="00C04FA5" w:rsidRDefault="00615E5A">
            <w:pPr>
              <w:pStyle w:val="AHPRAsubheadinglevel20"/>
            </w:pPr>
            <w:r>
              <w:t>What are the c</w:t>
            </w:r>
            <w:r w:rsidR="00A96027" w:rsidRPr="00EA3A82">
              <w:t>osts to the applicant</w:t>
            </w:r>
            <w:r w:rsidR="0045145A">
              <w:t xml:space="preserve">, particularly if an applicant had lived in a number of </w:t>
            </w:r>
            <w:r w:rsidR="0045145A">
              <w:lastRenderedPageBreak/>
              <w:t>countries</w:t>
            </w:r>
            <w:r>
              <w:t>?</w:t>
            </w:r>
          </w:p>
        </w:tc>
        <w:tc>
          <w:tcPr>
            <w:tcW w:w="4811" w:type="dxa"/>
          </w:tcPr>
          <w:p w:rsidR="00C04FA5" w:rsidRDefault="009464D3" w:rsidP="00AB05A0">
            <w:pPr>
              <w:pStyle w:val="AHPRAsubheadinglevel20"/>
            </w:pPr>
            <w:r>
              <w:rPr>
                <w:b w:val="0"/>
              </w:rPr>
              <w:lastRenderedPageBreak/>
              <w:t xml:space="preserve">Costs to the applicant will depend on the number of, and which countries, where they have resided. </w:t>
            </w:r>
            <w:r w:rsidR="00AB05A0" w:rsidRPr="00B5003D">
              <w:rPr>
                <w:b w:val="0"/>
              </w:rPr>
              <w:lastRenderedPageBreak/>
              <w:t>Applicants will have a choice of provider to conduct the international criminal history check.</w:t>
            </w:r>
          </w:p>
        </w:tc>
      </w:tr>
      <w:tr w:rsidR="00A96027" w:rsidTr="00A96027">
        <w:tc>
          <w:tcPr>
            <w:tcW w:w="4811" w:type="dxa"/>
          </w:tcPr>
          <w:p w:rsidR="00C04FA5" w:rsidRDefault="00D179BE">
            <w:pPr>
              <w:pStyle w:val="AHPRAsubheadinglevel20"/>
            </w:pPr>
            <w:r>
              <w:lastRenderedPageBreak/>
              <w:t>T</w:t>
            </w:r>
            <w:r w:rsidRPr="0000218B">
              <w:t xml:space="preserve">he scope of the </w:t>
            </w:r>
            <w:r>
              <w:t>criminal history</w:t>
            </w:r>
            <w:r w:rsidRPr="0000218B">
              <w:t xml:space="preserve"> checks</w:t>
            </w:r>
            <w:r>
              <w:t xml:space="preserve"> relating to charges, spent and ‘questionable’ convictions</w:t>
            </w:r>
          </w:p>
        </w:tc>
        <w:tc>
          <w:tcPr>
            <w:tcW w:w="4811" w:type="dxa"/>
          </w:tcPr>
          <w:p w:rsidR="00D179BE" w:rsidRDefault="00D179BE" w:rsidP="00D179BE">
            <w:pPr>
              <w:rPr>
                <w:rFonts w:cs="Arial"/>
                <w:sz w:val="20"/>
                <w:szCs w:val="20"/>
              </w:rPr>
            </w:pPr>
            <w:r>
              <w:rPr>
                <w:rFonts w:cs="Arial"/>
                <w:sz w:val="20"/>
                <w:szCs w:val="20"/>
              </w:rPr>
              <w:t xml:space="preserve">The requirement to declare all charges is consistent with the National Law. </w:t>
            </w:r>
          </w:p>
          <w:p w:rsidR="00C04FA5" w:rsidRDefault="00D179BE">
            <w:pPr>
              <w:pStyle w:val="AHPRAsubheadinglevel20"/>
            </w:pPr>
            <w:r>
              <w:rPr>
                <w:b w:val="0"/>
              </w:rPr>
              <w:t>Information will be published about</w:t>
            </w:r>
            <w:r w:rsidRPr="008479AE">
              <w:rPr>
                <w:b w:val="0"/>
              </w:rPr>
              <w:t xml:space="preserve"> </w:t>
            </w:r>
            <w:r>
              <w:rPr>
                <w:b w:val="0"/>
              </w:rPr>
              <w:t>how National Boards and AHPRA will manage spent or questionable</w:t>
            </w:r>
            <w:r w:rsidRPr="008479AE">
              <w:rPr>
                <w:b w:val="0"/>
              </w:rPr>
              <w:t xml:space="preserve"> convictions as part of the pilot approach to implementing option 5.</w:t>
            </w:r>
          </w:p>
        </w:tc>
      </w:tr>
      <w:tr w:rsidR="00D179BE" w:rsidTr="00A96027">
        <w:tc>
          <w:tcPr>
            <w:tcW w:w="4811" w:type="dxa"/>
          </w:tcPr>
          <w:p w:rsidR="00C04FA5" w:rsidRDefault="00D179BE">
            <w:pPr>
              <w:pStyle w:val="AHPRAsubheadinglevel20"/>
            </w:pPr>
            <w:r>
              <w:t>Country-specific issues with criminal history checks</w:t>
            </w:r>
          </w:p>
        </w:tc>
        <w:tc>
          <w:tcPr>
            <w:tcW w:w="4811" w:type="dxa"/>
          </w:tcPr>
          <w:p w:rsidR="00C04FA5" w:rsidRDefault="00D179BE">
            <w:pPr>
              <w:pStyle w:val="AHPRAsubheadinglevel20"/>
            </w:pPr>
            <w:r>
              <w:rPr>
                <w:b w:val="0"/>
              </w:rPr>
              <w:t>Country-specific issues, such as the requirement to obtain a criminal history check in person,</w:t>
            </w:r>
            <w:r w:rsidRPr="004831E9">
              <w:rPr>
                <w:b w:val="0"/>
              </w:rPr>
              <w:t xml:space="preserve"> will be addressed in the pilot approach to implementing option 5.</w:t>
            </w:r>
          </w:p>
        </w:tc>
      </w:tr>
    </w:tbl>
    <w:p w:rsidR="00591C5D" w:rsidRPr="0000218B" w:rsidRDefault="00591C5D" w:rsidP="00591C5D">
      <w:pPr>
        <w:pStyle w:val="AHPRAsubheadinglevel20"/>
      </w:pPr>
    </w:p>
    <w:p w:rsidR="00EA457D" w:rsidRDefault="00EA457D">
      <w:pPr>
        <w:spacing w:after="0"/>
        <w:rPr>
          <w:rFonts w:cs="Arial"/>
          <w:noProof/>
          <w:color w:val="00BCFF"/>
          <w:sz w:val="32"/>
          <w:szCs w:val="52"/>
          <w:lang w:val="en-GB" w:eastAsia="en-GB"/>
        </w:rPr>
      </w:pPr>
      <w:r>
        <w:rPr>
          <w:noProof/>
          <w:color w:val="00BCFF"/>
          <w:lang w:val="en-GB" w:eastAsia="en-GB"/>
        </w:rPr>
        <w:br w:type="page"/>
      </w:r>
    </w:p>
    <w:p w:rsidR="00A144E7" w:rsidRPr="00E52F0D" w:rsidRDefault="00A144E7" w:rsidP="00E52F0D">
      <w:pPr>
        <w:pStyle w:val="AHPRADocumenttitle"/>
        <w:rPr>
          <w:noProof/>
          <w:color w:val="00BCFF"/>
          <w:lang w:val="en-GB" w:eastAsia="en-GB"/>
        </w:rPr>
      </w:pPr>
      <w:bookmarkStart w:id="6" w:name="_Toc400025697"/>
      <w:r w:rsidRPr="00E52F0D">
        <w:rPr>
          <w:noProof/>
          <w:color w:val="00BCFF"/>
          <w:lang w:val="en-GB" w:eastAsia="en-GB"/>
        </w:rPr>
        <w:lastRenderedPageBreak/>
        <w:t>Next steps</w:t>
      </w:r>
      <w:bookmarkEnd w:id="6"/>
    </w:p>
    <w:p w:rsidR="0087616E" w:rsidRDefault="0087616E" w:rsidP="0087616E">
      <w:pPr>
        <w:pStyle w:val="AHPRAbody"/>
        <w:tabs>
          <w:tab w:val="center" w:pos="4749"/>
        </w:tabs>
      </w:pPr>
      <w:r>
        <w:t>The feedback from this consultation</w:t>
      </w:r>
      <w:r w:rsidR="00C02D61">
        <w:t xml:space="preserve"> </w:t>
      </w:r>
      <w:r w:rsidRPr="0087616E">
        <w:t>will be incorporated into</w:t>
      </w:r>
      <w:r>
        <w:t xml:space="preserve"> the pilot approach to conducting interna</w:t>
      </w:r>
      <w:r w:rsidR="00C02D61">
        <w:t>tional criminal history checks.</w:t>
      </w:r>
    </w:p>
    <w:p w:rsidR="00F05496" w:rsidRDefault="00F05496" w:rsidP="00F05496">
      <w:pPr>
        <w:pStyle w:val="AHPRAbodyContextparanumbered"/>
        <w:numPr>
          <w:ilvl w:val="0"/>
          <w:numId w:val="0"/>
        </w:numPr>
      </w:pPr>
      <w:r>
        <w:t xml:space="preserve">It is proposed that </w:t>
      </w:r>
      <w:r w:rsidR="00AB4640">
        <w:t xml:space="preserve">option 5 will be piloted for a </w:t>
      </w:r>
      <w:r w:rsidR="00A319E7">
        <w:t>12-</w:t>
      </w:r>
      <w:r w:rsidR="00AB4640">
        <w:t xml:space="preserve">month period </w:t>
      </w:r>
      <w:r w:rsidR="009636B8">
        <w:t xml:space="preserve">from early 2015 </w:t>
      </w:r>
      <w:r w:rsidR="00AB4640">
        <w:t xml:space="preserve">followed by an evaluation of how the option has worked in practice. As supported by the majority of respondents from this consultation, international criminal history checks will be conducted for </w:t>
      </w:r>
      <w:r w:rsidR="00AB4640" w:rsidRPr="0087616E">
        <w:t>countries where an applicant has resided for 6 months or mor</w:t>
      </w:r>
      <w:r w:rsidR="00AB4640">
        <w:t xml:space="preserve">e. The pilot approach will also address </w:t>
      </w:r>
      <w:r w:rsidR="009464D3">
        <w:t>other</w:t>
      </w:r>
      <w:r w:rsidR="00AB4640">
        <w:t xml:space="preserve"> issues identified in the feedback</w:t>
      </w:r>
      <w:r w:rsidR="00F843B6">
        <w:t>.</w:t>
      </w:r>
    </w:p>
    <w:p w:rsidR="00F5444D" w:rsidRDefault="00F05496">
      <w:pPr>
        <w:pStyle w:val="AHPRAbody"/>
        <w:spacing w:after="120"/>
      </w:pPr>
      <w:r>
        <w:t xml:space="preserve">AHPRA </w:t>
      </w:r>
      <w:r w:rsidR="009636B8">
        <w:t xml:space="preserve">is </w:t>
      </w:r>
      <w:r>
        <w:t>proceed</w:t>
      </w:r>
      <w:r w:rsidR="009636B8">
        <w:t>ing</w:t>
      </w:r>
      <w:r>
        <w:t xml:space="preserve"> with work to implement the pilot approach, including:</w:t>
      </w:r>
    </w:p>
    <w:p w:rsidR="00C04FA5" w:rsidRDefault="00173F10">
      <w:pPr>
        <w:pStyle w:val="AHPRAbody"/>
        <w:numPr>
          <w:ilvl w:val="0"/>
          <w:numId w:val="13"/>
        </w:numPr>
        <w:spacing w:after="0"/>
      </w:pPr>
      <w:r>
        <w:t>seeking</w:t>
      </w:r>
      <w:r w:rsidR="009636B8">
        <w:t xml:space="preserve"> expression</w:t>
      </w:r>
      <w:r>
        <w:t>s</w:t>
      </w:r>
      <w:r w:rsidR="009636B8">
        <w:t xml:space="preserve"> of interest</w:t>
      </w:r>
      <w:r w:rsidR="00F05496">
        <w:t xml:space="preserve"> for external providers to conduct international criminal history checks </w:t>
      </w:r>
      <w:r w:rsidR="00720958">
        <w:t xml:space="preserve"> </w:t>
      </w:r>
    </w:p>
    <w:p w:rsidR="00C04FA5" w:rsidRDefault="00F05496">
      <w:pPr>
        <w:pStyle w:val="AHPRAbody"/>
        <w:numPr>
          <w:ilvl w:val="0"/>
          <w:numId w:val="13"/>
        </w:numPr>
        <w:spacing w:after="0"/>
      </w:pPr>
      <w:r>
        <w:t>implementation planning, including producing communications for applicants (on meeting the requirements a</w:t>
      </w:r>
      <w:r w:rsidR="008E5329">
        <w:t>nd costs)</w:t>
      </w:r>
      <w:r w:rsidR="00E86292">
        <w:t xml:space="preserve"> and the public</w:t>
      </w:r>
      <w:r w:rsidR="00EA1ED2">
        <w:t xml:space="preserve">, </w:t>
      </w:r>
      <w:r>
        <w:t xml:space="preserve">internal staff </w:t>
      </w:r>
      <w:r w:rsidR="00164535">
        <w:t>training</w:t>
      </w:r>
      <w:r w:rsidR="00F843B6">
        <w:t>, and</w:t>
      </w:r>
    </w:p>
    <w:p w:rsidR="00C04FA5" w:rsidRDefault="00F05496">
      <w:pPr>
        <w:pStyle w:val="AHPRAbody"/>
        <w:numPr>
          <w:ilvl w:val="0"/>
          <w:numId w:val="13"/>
        </w:numPr>
        <w:spacing w:after="0"/>
      </w:pPr>
      <w:r>
        <w:t>continued liaison with external agencies such as the Department of Immigration and Border Protection and the Australian Federal Police</w:t>
      </w:r>
      <w:r w:rsidR="008E5329">
        <w:t xml:space="preserve"> </w:t>
      </w:r>
      <w:r w:rsidR="008E5329" w:rsidRPr="00B5003D">
        <w:t xml:space="preserve">to </w:t>
      </w:r>
      <w:r w:rsidR="00AB05A0" w:rsidRPr="00B5003D">
        <w:t>determine possible collaborations or exchange of information.</w:t>
      </w:r>
    </w:p>
    <w:p w:rsidR="00F5444D" w:rsidRDefault="00F5444D">
      <w:pPr>
        <w:pStyle w:val="AHPRAbody"/>
        <w:spacing w:after="0"/>
        <w:ind w:left="360"/>
      </w:pPr>
    </w:p>
    <w:p w:rsidR="00C04FA5" w:rsidRDefault="009464D3">
      <w:pPr>
        <w:pStyle w:val="AHPRAbody"/>
      </w:pPr>
      <w:r>
        <w:rPr>
          <w:szCs w:val="20"/>
        </w:rPr>
        <w:t xml:space="preserve">National Boards and </w:t>
      </w:r>
      <w:r w:rsidR="00EE6A23" w:rsidRPr="00F843B6">
        <w:rPr>
          <w:szCs w:val="20"/>
        </w:rPr>
        <w:t xml:space="preserve">AHPRA look forward to </w:t>
      </w:r>
      <w:r>
        <w:rPr>
          <w:szCs w:val="20"/>
        </w:rPr>
        <w:t>strengthening the approach to international criminal history checking while</w:t>
      </w:r>
      <w:r w:rsidR="00EE6A23" w:rsidRPr="00F843B6">
        <w:rPr>
          <w:szCs w:val="20"/>
        </w:rPr>
        <w:t xml:space="preserve"> </w:t>
      </w:r>
      <w:r w:rsidR="00EE6A23" w:rsidRPr="009E5131">
        <w:rPr>
          <w:szCs w:val="20"/>
        </w:rPr>
        <w:t>avoiding unnecessary delay</w:t>
      </w:r>
      <w:r w:rsidR="009E5131" w:rsidRPr="009E5131">
        <w:rPr>
          <w:szCs w:val="20"/>
        </w:rPr>
        <w:t>s</w:t>
      </w:r>
      <w:r w:rsidR="00EE6A23" w:rsidRPr="009E5131">
        <w:rPr>
          <w:szCs w:val="20"/>
        </w:rPr>
        <w:t xml:space="preserve"> to </w:t>
      </w:r>
      <w:r w:rsidR="00AB05A0">
        <w:rPr>
          <w:szCs w:val="20"/>
        </w:rPr>
        <w:t xml:space="preserve">registration in Australia; </w:t>
      </w:r>
      <w:r w:rsidRPr="00B5003D">
        <w:rPr>
          <w:szCs w:val="20"/>
        </w:rPr>
        <w:t>consistent with the objectives and</w:t>
      </w:r>
      <w:r w:rsidR="00EE6A23" w:rsidRPr="00B5003D">
        <w:rPr>
          <w:szCs w:val="20"/>
        </w:rPr>
        <w:t xml:space="preserve"> guiding principles of the National Law</w:t>
      </w:r>
      <w:r w:rsidR="00C22D58" w:rsidRPr="00B5003D">
        <w:rPr>
          <w:szCs w:val="20"/>
        </w:rPr>
        <w:t xml:space="preserve"> and our regulatory principles</w:t>
      </w:r>
      <w:r w:rsidR="00EE6A23" w:rsidRPr="00B5003D">
        <w:rPr>
          <w:szCs w:val="20"/>
        </w:rPr>
        <w:t>.</w:t>
      </w:r>
      <w:r w:rsidR="009B1D77">
        <w:t xml:space="preserve"> </w:t>
      </w:r>
    </w:p>
    <w:p w:rsidR="000F5EE3" w:rsidRDefault="000F5EE3">
      <w:pPr>
        <w:spacing w:after="0"/>
        <w:rPr>
          <w:rFonts w:cs="Arial"/>
          <w:sz w:val="20"/>
        </w:rPr>
      </w:pPr>
      <w:r>
        <w:br w:type="page"/>
      </w:r>
    </w:p>
    <w:p w:rsidR="000F5EE3" w:rsidRPr="00E52F0D" w:rsidRDefault="000F5EE3" w:rsidP="000F5EE3">
      <w:pPr>
        <w:pStyle w:val="AHPRADocumenttitle"/>
        <w:rPr>
          <w:noProof/>
          <w:color w:val="00BCFF"/>
          <w:lang w:val="en-GB" w:eastAsia="en-GB"/>
        </w:rPr>
      </w:pPr>
      <w:bookmarkStart w:id="7" w:name="_Toc400025698"/>
      <w:r>
        <w:rPr>
          <w:noProof/>
          <w:color w:val="00BCFF"/>
          <w:lang w:val="en-GB" w:eastAsia="en-GB"/>
        </w:rPr>
        <w:lastRenderedPageBreak/>
        <w:t>Attachment 1 –</w:t>
      </w:r>
      <w:r w:rsidR="004F2A16">
        <w:rPr>
          <w:noProof/>
          <w:color w:val="00BCFF"/>
          <w:lang w:val="en-GB" w:eastAsia="en-GB"/>
        </w:rPr>
        <w:t xml:space="preserve"> </w:t>
      </w:r>
      <w:r>
        <w:rPr>
          <w:noProof/>
          <w:color w:val="00BCFF"/>
          <w:lang w:val="en-GB" w:eastAsia="en-GB"/>
        </w:rPr>
        <w:t>Consultation</w:t>
      </w:r>
      <w:r w:rsidR="004F2A16">
        <w:rPr>
          <w:noProof/>
          <w:color w:val="00BCFF"/>
          <w:lang w:val="en-GB" w:eastAsia="en-GB"/>
        </w:rPr>
        <w:t xml:space="preserve"> at AHPRA</w:t>
      </w:r>
      <w:bookmarkEnd w:id="7"/>
    </w:p>
    <w:p w:rsidR="000F5EE3" w:rsidRDefault="000F5EE3" w:rsidP="000F5EE3">
      <w:pPr>
        <w:pStyle w:val="Default"/>
        <w:contextualSpacing/>
      </w:pPr>
      <w:r w:rsidRPr="00A56D93">
        <w:rPr>
          <w:color w:val="auto"/>
          <w:sz w:val="20"/>
          <w:szCs w:val="20"/>
        </w:rPr>
        <w:t xml:space="preserve">The Australian Health Practitioner </w:t>
      </w:r>
      <w:r w:rsidRPr="00612A82">
        <w:rPr>
          <w:color w:val="auto"/>
          <w:sz w:val="20"/>
          <w:szCs w:val="20"/>
        </w:rPr>
        <w:t xml:space="preserve">Regulation Agency (AHPRA) works in partnership with the </w:t>
      </w:r>
      <w:hyperlink r:id="rId14" w:history="1">
        <w:r w:rsidRPr="00612A82">
          <w:rPr>
            <w:rStyle w:val="Hyperlink"/>
            <w:sz w:val="20"/>
            <w:szCs w:val="20"/>
          </w:rPr>
          <w:t>14 National Boards</w:t>
        </w:r>
      </w:hyperlink>
      <w:r w:rsidRPr="00612A82">
        <w:rPr>
          <w:color w:val="auto"/>
          <w:sz w:val="20"/>
          <w:szCs w:val="20"/>
        </w:rPr>
        <w:t xml:space="preserve"> in the National Registration and Accreditation Scheme (the National Scheme) to implement the requirements of the National Scheme, which has maintaining public safety at its heart. </w:t>
      </w:r>
    </w:p>
    <w:p w:rsidR="000F5EE3" w:rsidRDefault="000F5EE3" w:rsidP="000F5EE3">
      <w:pPr>
        <w:pStyle w:val="Default"/>
        <w:contextualSpacing/>
        <w:rPr>
          <w:color w:val="auto"/>
          <w:sz w:val="20"/>
          <w:szCs w:val="20"/>
        </w:rPr>
      </w:pPr>
    </w:p>
    <w:p w:rsidR="000F5EE3" w:rsidRDefault="000F5EE3" w:rsidP="000F5EE3">
      <w:pPr>
        <w:pStyle w:val="FootnoteText"/>
      </w:pPr>
      <w:r>
        <w:t xml:space="preserve">Consultation </w:t>
      </w:r>
      <w:r w:rsidRPr="00EA7FB0">
        <w:t xml:space="preserve">is an important part of the Boards’ </w:t>
      </w:r>
      <w:r>
        <w:t>work and is a requirement under the Health Practitioner Regulation National Law as in force in each state and territory (the National Law)</w:t>
      </w:r>
      <w:r w:rsidRPr="00EA7FB0">
        <w:t xml:space="preserve">. The feedback provided </w:t>
      </w:r>
      <w:r>
        <w:t>through</w:t>
      </w:r>
      <w:r w:rsidRPr="00EA7FB0">
        <w:t xml:space="preserve"> consultation is greatly valued, and informs the Board’s development </w:t>
      </w:r>
      <w:r>
        <w:t xml:space="preserve">and implementation </w:t>
      </w:r>
      <w:r w:rsidRPr="00EA7FB0">
        <w:t>of</w:t>
      </w:r>
      <w:r>
        <w:t xml:space="preserve"> policy</w:t>
      </w:r>
      <w:r w:rsidRPr="00EA7FB0">
        <w:t xml:space="preserve">. </w:t>
      </w:r>
    </w:p>
    <w:p w:rsidR="000F5EE3" w:rsidRDefault="000F5EE3" w:rsidP="000F5EE3">
      <w:pPr>
        <w:pStyle w:val="FootnoteText"/>
      </w:pPr>
      <w:r w:rsidRPr="00BF4C3B">
        <w:t>Consultation also provides individuals and organisations with an opportunity to say how they think health practitioners should be regulated.</w:t>
      </w:r>
      <w:r>
        <w:rPr>
          <w:rFonts w:cs="Arial"/>
        </w:rPr>
        <w:t xml:space="preserve"> It also helps us to </w:t>
      </w:r>
      <w:r>
        <w:t xml:space="preserve">gain feedback from practitioners, members of the community and other stakeholders on potential policy approaches as well as to identify potential unintended consequences. </w:t>
      </w:r>
    </w:p>
    <w:p w:rsidR="000F5EE3" w:rsidRPr="00AD1958" w:rsidRDefault="000F5EE3" w:rsidP="000F5EE3">
      <w:pPr>
        <w:pStyle w:val="Default"/>
        <w:spacing w:after="200"/>
        <w:contextualSpacing/>
        <w:rPr>
          <w:sz w:val="20"/>
          <w:szCs w:val="20"/>
        </w:rPr>
      </w:pPr>
      <w:r>
        <w:rPr>
          <w:color w:val="auto"/>
          <w:sz w:val="20"/>
          <w:szCs w:val="20"/>
        </w:rPr>
        <w:t xml:space="preserve">Consultation feedback is </w:t>
      </w:r>
      <w:r>
        <w:rPr>
          <w:sz w:val="20"/>
          <w:szCs w:val="20"/>
        </w:rPr>
        <w:t>considered by AHPRA</w:t>
      </w:r>
      <w:r>
        <w:rPr>
          <w:color w:val="auto"/>
          <w:sz w:val="20"/>
          <w:szCs w:val="20"/>
        </w:rPr>
        <w:t xml:space="preserve"> and the National Boards in conjunction with our </w:t>
      </w:r>
      <w:hyperlink r:id="rId15" w:anchor="regulatory" w:history="1">
        <w:r w:rsidRPr="00A43180">
          <w:rPr>
            <w:rStyle w:val="Hyperlink"/>
            <w:sz w:val="20"/>
            <w:szCs w:val="20"/>
          </w:rPr>
          <w:t>regulatory principles</w:t>
        </w:r>
      </w:hyperlink>
      <w:r>
        <w:t xml:space="preserve"> </w:t>
      </w:r>
      <w:r w:rsidRPr="00BF4C3B">
        <w:rPr>
          <w:sz w:val="20"/>
          <w:szCs w:val="20"/>
        </w:rPr>
        <w:t>and obligations</w:t>
      </w:r>
      <w:r>
        <w:rPr>
          <w:color w:val="auto"/>
          <w:sz w:val="20"/>
          <w:szCs w:val="20"/>
        </w:rPr>
        <w:t xml:space="preserve"> under the National Law. The intent to make our processes less onerous for practitioners is also a consideration.</w:t>
      </w:r>
      <w:r w:rsidRPr="001B2CF3">
        <w:rPr>
          <w:color w:val="auto"/>
          <w:sz w:val="20"/>
          <w:szCs w:val="20"/>
        </w:rPr>
        <w:t xml:space="preserve"> </w:t>
      </w:r>
      <w:r>
        <w:rPr>
          <w:color w:val="auto"/>
          <w:sz w:val="20"/>
          <w:szCs w:val="20"/>
        </w:rPr>
        <w:t xml:space="preserve">There is a balance between setting adequate systems and standards that will help protect the public by ensuring that only ethical and adequately qualified practitioners are registered, and ensuring that practitioners are able to apply for registration without unnecessary burdens or delay. </w:t>
      </w:r>
    </w:p>
    <w:p w:rsidR="005327E3" w:rsidRDefault="005327E3">
      <w:pPr>
        <w:pStyle w:val="AHPRAbody"/>
      </w:pPr>
    </w:p>
    <w:sectPr w:rsidR="005327E3" w:rsidSect="00091A51">
      <w:footerReference w:type="default" r:id="rId16"/>
      <w:headerReference w:type="first" r:id="rId17"/>
      <w:footerReference w:type="first" r:id="rId18"/>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E7" w:rsidRDefault="007000E7" w:rsidP="00FC2881">
      <w:pPr>
        <w:spacing w:after="0"/>
      </w:pPr>
      <w:r>
        <w:separator/>
      </w:r>
    </w:p>
    <w:p w:rsidR="007000E7" w:rsidRDefault="007000E7"/>
  </w:endnote>
  <w:endnote w:type="continuationSeparator" w:id="0">
    <w:p w:rsidR="007000E7" w:rsidRDefault="007000E7" w:rsidP="00FC2881">
      <w:pPr>
        <w:spacing w:after="0"/>
      </w:pPr>
      <w:r>
        <w:continuationSeparator/>
      </w:r>
    </w:p>
    <w:p w:rsidR="007000E7" w:rsidRDefault="0070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046"/>
      <w:docPartObj>
        <w:docPartGallery w:val="Page Numbers (Top of Page)"/>
        <w:docPartUnique/>
      </w:docPartObj>
    </w:sdtPr>
    <w:sdtEndPr/>
    <w:sdtContent>
      <w:p w:rsidR="00091A51" w:rsidRDefault="00091A51" w:rsidP="00091A51">
        <w:pPr>
          <w:pStyle w:val="AHPRAfooter"/>
        </w:pPr>
        <w:r>
          <w:t xml:space="preserve">International criminal history checks – Consultation report </w:t>
        </w:r>
      </w:p>
      <w:p w:rsidR="00091A51" w:rsidRPr="00411BD2" w:rsidRDefault="00091A51" w:rsidP="00091A51">
        <w:pPr>
          <w:pStyle w:val="AHPRAfooter"/>
        </w:pPr>
        <w:r>
          <w:t>October 2014</w:t>
        </w:r>
      </w:p>
      <w:p w:rsidR="00091A51" w:rsidRPr="00091A51" w:rsidRDefault="00091A51" w:rsidP="00091A51">
        <w:pPr>
          <w:pStyle w:val="AHPRApagenumber"/>
          <w:rPr>
            <w:rFonts w:cs="Times New Roman"/>
            <w:color w:val="auto"/>
            <w:sz w:val="24"/>
            <w:szCs w:val="24"/>
          </w:rPr>
        </w:pPr>
        <w:r w:rsidRPr="000E7E28">
          <w:t xml:space="preserve">Page </w:t>
        </w:r>
        <w:r w:rsidR="009802B1">
          <w:fldChar w:fldCharType="begin"/>
        </w:r>
        <w:r w:rsidR="009802B1">
          <w:instrText xml:space="preserve"> PAGE </w:instrText>
        </w:r>
        <w:r w:rsidR="009802B1">
          <w:fldChar w:fldCharType="separate"/>
        </w:r>
        <w:r w:rsidR="009802B1">
          <w:rPr>
            <w:noProof/>
          </w:rPr>
          <w:t>4</w:t>
        </w:r>
        <w:r w:rsidR="009802B1">
          <w:rPr>
            <w:noProof/>
          </w:rPr>
          <w:fldChar w:fldCharType="end"/>
        </w:r>
        <w:r w:rsidRPr="000E7E28">
          <w:t xml:space="preserve"> of </w:t>
        </w:r>
        <w:r w:rsidR="009802B1">
          <w:fldChar w:fldCharType="begin"/>
        </w:r>
        <w:r w:rsidR="009802B1">
          <w:instrText xml:space="preserve"> NUMPAGES  </w:instrText>
        </w:r>
        <w:r w:rsidR="009802B1">
          <w:fldChar w:fldCharType="separate"/>
        </w:r>
        <w:r w:rsidR="009802B1">
          <w:rPr>
            <w:noProof/>
          </w:rPr>
          <w:t>11</w:t>
        </w:r>
        <w:r w:rsidR="009802B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51" w:rsidRPr="00E77E23" w:rsidRDefault="00091A51" w:rsidP="00091A51">
    <w:pPr>
      <w:pStyle w:val="AHPRAfirstpagefooter"/>
    </w:pPr>
    <w:r>
      <w:tab/>
    </w:r>
    <w:r w:rsidRPr="00E77E23">
      <w:t xml:space="preserve">Australian </w:t>
    </w:r>
    <w:r w:rsidRPr="00E77E23">
      <w:rPr>
        <w:color w:val="007DC3"/>
      </w:rPr>
      <w:t>Health Practitioner</w:t>
    </w:r>
    <w:r w:rsidRPr="00E77E23">
      <w:t xml:space="preserve"> Regulation Agency</w:t>
    </w:r>
  </w:p>
  <w:p w:rsidR="00091A51" w:rsidRDefault="00091A51" w:rsidP="00091A5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E7" w:rsidRDefault="007000E7" w:rsidP="000E7E28">
      <w:pPr>
        <w:spacing w:after="0"/>
      </w:pPr>
      <w:r>
        <w:separator/>
      </w:r>
    </w:p>
  </w:footnote>
  <w:footnote w:type="continuationSeparator" w:id="0">
    <w:p w:rsidR="007000E7" w:rsidRDefault="007000E7" w:rsidP="00FC2881">
      <w:pPr>
        <w:spacing w:after="0"/>
      </w:pPr>
      <w:r>
        <w:continuationSeparator/>
      </w:r>
    </w:p>
    <w:p w:rsidR="007000E7" w:rsidRDefault="007000E7"/>
  </w:footnote>
  <w:footnote w:type="continuationNotice" w:id="1">
    <w:p w:rsidR="007000E7" w:rsidRDefault="007000E7">
      <w:pPr>
        <w:spacing w:after="0"/>
      </w:pPr>
    </w:p>
  </w:footnote>
  <w:footnote w:id="2">
    <w:p w:rsidR="00634E84" w:rsidRPr="00104ABB" w:rsidRDefault="00634E84" w:rsidP="004662D9">
      <w:pPr>
        <w:pStyle w:val="AHPRAbody"/>
      </w:pPr>
      <w:r>
        <w:rPr>
          <w:rStyle w:val="FootnoteReference"/>
        </w:rPr>
        <w:footnoteRef/>
      </w:r>
      <w:r>
        <w:t xml:space="preserve"> </w:t>
      </w:r>
      <w:r w:rsidRPr="00C45E8E">
        <w:t xml:space="preserve">Previous consultation papers regarding international criminal history checks, as well as the submissions that were received for each, are published under </w:t>
      </w:r>
      <w:hyperlink r:id="rId1" w:history="1">
        <w:r w:rsidRPr="00C45E8E">
          <w:rPr>
            <w:rStyle w:val="Hyperlink"/>
            <w:i/>
          </w:rPr>
          <w:t>Past consultations</w:t>
        </w:r>
      </w:hyperlink>
      <w:r w:rsidRPr="00C45E8E">
        <w:t xml:space="preserve"> on the AHPRA and National Boards’ websites.</w:t>
      </w:r>
    </w:p>
    <w:p w:rsidR="00634E84" w:rsidRDefault="00634E84">
      <w:pPr>
        <w:pStyle w:val="FootnoteText"/>
      </w:pPr>
    </w:p>
  </w:footnote>
  <w:footnote w:id="3">
    <w:p w:rsidR="00634E84" w:rsidRDefault="00634E84" w:rsidP="00157FA4">
      <w:pPr>
        <w:pStyle w:val="FootnoteText"/>
      </w:pPr>
      <w:r>
        <w:rPr>
          <w:rStyle w:val="FootnoteReference"/>
        </w:rPr>
        <w:footnoteRef/>
      </w:r>
      <w:r>
        <w:t xml:space="preserve"> S.79 Health Practitioner Regulation National Law Act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84" w:rsidRDefault="00634E84" w:rsidP="00E844A0"/>
  <w:p w:rsidR="00634E84" w:rsidRDefault="00634E84" w:rsidP="00E844A0"/>
  <w:p w:rsidR="00634E84" w:rsidRDefault="00634E84" w:rsidP="00E844A0"/>
  <w:p w:rsidR="00634E84" w:rsidRDefault="00634E84" w:rsidP="00E844A0"/>
  <w:p w:rsidR="00634E84" w:rsidRDefault="00634E84" w:rsidP="00E844A0"/>
  <w:p w:rsidR="00634E84" w:rsidRDefault="00634E8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1201E"/>
    <w:multiLevelType w:val="hybridMultilevel"/>
    <w:tmpl w:val="BA1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67837BC"/>
    <w:multiLevelType w:val="hybridMultilevel"/>
    <w:tmpl w:val="FF726032"/>
    <w:lvl w:ilvl="0" w:tplc="EF46EE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0314C5"/>
    <w:multiLevelType w:val="hybridMultilevel"/>
    <w:tmpl w:val="F0602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A65BC"/>
    <w:multiLevelType w:val="hybridMultilevel"/>
    <w:tmpl w:val="021421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C607215"/>
    <w:multiLevelType w:val="hybridMultilevel"/>
    <w:tmpl w:val="C604380C"/>
    <w:lvl w:ilvl="0" w:tplc="04090001">
      <w:start w:val="1"/>
      <w:numFmt w:val="bullet"/>
      <w:lvlText w:val=""/>
      <w:lvlJc w:val="left"/>
      <w:pPr>
        <w:ind w:left="360" w:hanging="360"/>
      </w:pPr>
      <w:rPr>
        <w:rFonts w:ascii="Symbol" w:hAnsi="Symbol" w:hint="default"/>
        <w:sz w:val="20"/>
        <w:szCs w:val="20"/>
      </w:rPr>
    </w:lvl>
    <w:lvl w:ilvl="1" w:tplc="AD3A0FCA">
      <w:start w:val="1"/>
      <w:numFmt w:val="lowerLetter"/>
      <w:lvlText w:val="%2."/>
      <w:lvlJc w:val="left"/>
      <w:pPr>
        <w:ind w:left="872" w:hanging="360"/>
      </w:pPr>
    </w:lvl>
    <w:lvl w:ilvl="2" w:tplc="0C6E1D18" w:tentative="1">
      <w:start w:val="1"/>
      <w:numFmt w:val="lowerRoman"/>
      <w:lvlText w:val="%3."/>
      <w:lvlJc w:val="right"/>
      <w:pPr>
        <w:ind w:left="1592" w:hanging="180"/>
      </w:pPr>
    </w:lvl>
    <w:lvl w:ilvl="3" w:tplc="80D4EE36" w:tentative="1">
      <w:start w:val="1"/>
      <w:numFmt w:val="decimal"/>
      <w:lvlText w:val="%4."/>
      <w:lvlJc w:val="left"/>
      <w:pPr>
        <w:ind w:left="2312" w:hanging="360"/>
      </w:pPr>
    </w:lvl>
    <w:lvl w:ilvl="4" w:tplc="124C6578" w:tentative="1">
      <w:start w:val="1"/>
      <w:numFmt w:val="lowerLetter"/>
      <w:lvlText w:val="%5."/>
      <w:lvlJc w:val="left"/>
      <w:pPr>
        <w:ind w:left="3032" w:hanging="360"/>
      </w:pPr>
    </w:lvl>
    <w:lvl w:ilvl="5" w:tplc="0EA67318" w:tentative="1">
      <w:start w:val="1"/>
      <w:numFmt w:val="lowerRoman"/>
      <w:lvlText w:val="%6."/>
      <w:lvlJc w:val="right"/>
      <w:pPr>
        <w:ind w:left="3752" w:hanging="180"/>
      </w:pPr>
    </w:lvl>
    <w:lvl w:ilvl="6" w:tplc="F1B8C83C" w:tentative="1">
      <w:start w:val="1"/>
      <w:numFmt w:val="decimal"/>
      <w:lvlText w:val="%7."/>
      <w:lvlJc w:val="left"/>
      <w:pPr>
        <w:ind w:left="4472" w:hanging="360"/>
      </w:pPr>
    </w:lvl>
    <w:lvl w:ilvl="7" w:tplc="5192C7B0" w:tentative="1">
      <w:start w:val="1"/>
      <w:numFmt w:val="lowerLetter"/>
      <w:lvlText w:val="%8."/>
      <w:lvlJc w:val="left"/>
      <w:pPr>
        <w:ind w:left="5192" w:hanging="360"/>
      </w:pPr>
    </w:lvl>
    <w:lvl w:ilvl="8" w:tplc="39689778" w:tentative="1">
      <w:start w:val="1"/>
      <w:numFmt w:val="lowerRoman"/>
      <w:lvlText w:val="%9."/>
      <w:lvlJc w:val="right"/>
      <w:pPr>
        <w:ind w:left="5912" w:hanging="180"/>
      </w:pPr>
    </w:lvl>
  </w:abstractNum>
  <w:abstractNum w:abstractNumId="9">
    <w:nsid w:val="42FA3AEB"/>
    <w:multiLevelType w:val="hybridMultilevel"/>
    <w:tmpl w:val="285A5D74"/>
    <w:lvl w:ilvl="0" w:tplc="04090019">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192FC6"/>
    <w:multiLevelType w:val="hybridMultilevel"/>
    <w:tmpl w:val="015435F0"/>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E27BB5"/>
    <w:multiLevelType w:val="hybridMultilevel"/>
    <w:tmpl w:val="2CDA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776B51"/>
    <w:multiLevelType w:val="hybridMultilevel"/>
    <w:tmpl w:val="BEE297B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5C3268"/>
    <w:multiLevelType w:val="multilevel"/>
    <w:tmpl w:val="DC343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5">
    <w:nsid w:val="70AC3EAB"/>
    <w:multiLevelType w:val="hybridMultilevel"/>
    <w:tmpl w:val="F102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6642B3"/>
    <w:multiLevelType w:val="hybridMultilevel"/>
    <w:tmpl w:val="298EA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8">
    <w:nsid w:val="7C731660"/>
    <w:multiLevelType w:val="multilevel"/>
    <w:tmpl w:val="C4183F12"/>
    <w:numStyleLink w:val="AHPRANumberedlist"/>
  </w:abstractNum>
  <w:num w:numId="1">
    <w:abstractNumId w:val="14"/>
  </w:num>
  <w:num w:numId="2">
    <w:abstractNumId w:val="10"/>
  </w:num>
  <w:num w:numId="3">
    <w:abstractNumId w:val="2"/>
  </w:num>
  <w:num w:numId="4">
    <w:abstractNumId w:val="4"/>
  </w:num>
  <w:num w:numId="5">
    <w:abstractNumId w:val="17"/>
  </w:num>
  <w:num w:numId="6">
    <w:abstractNumId w:val="3"/>
    <w:lvlOverride w:ilvl="0">
      <w:lvl w:ilvl="0">
        <w:start w:val="1"/>
        <w:numFmt w:val="decimal"/>
        <w:pStyle w:val="AHPRANumberedsubheadinglevel1"/>
        <w:lvlText w:val="%1."/>
        <w:lvlJc w:val="left"/>
        <w:pPr>
          <w:ind w:left="369" w:hanging="369"/>
        </w:pPr>
        <w:rPr>
          <w:rFonts w:ascii="Arial" w:hAnsi="Arial" w:hint="default"/>
          <w:b/>
          <w:color w:val="007DC3"/>
          <w:sz w:val="28"/>
          <w:szCs w:val="28"/>
        </w:rPr>
      </w:lvl>
    </w:lvlOverride>
  </w:num>
  <w:num w:numId="7">
    <w:abstractNumId w:val="18"/>
  </w:num>
  <w:num w:numId="8">
    <w:abstractNumId w:val="7"/>
  </w:num>
  <w:num w:numId="9">
    <w:abstractNumId w:val="9"/>
  </w:num>
  <w:num w:numId="10">
    <w:abstractNumId w:val="11"/>
  </w:num>
  <w:num w:numId="11">
    <w:abstractNumId w:val="0"/>
  </w:num>
  <w:num w:numId="12">
    <w:abstractNumId w:val="1"/>
  </w:num>
  <w:num w:numId="13">
    <w:abstractNumId w:val="16"/>
  </w:num>
  <w:num w:numId="14">
    <w:abstractNumId w:val="15"/>
  </w:num>
  <w:num w:numId="15">
    <w:abstractNumId w:val="8"/>
  </w:num>
  <w:num w:numId="16">
    <w:abstractNumId w:val="6"/>
  </w:num>
  <w:num w:numId="17">
    <w:abstractNumId w:val="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2"/>
  </w:compat>
  <w:rsids>
    <w:rsidRoot w:val="00F0687C"/>
    <w:rsid w:val="00000033"/>
    <w:rsid w:val="0000218B"/>
    <w:rsid w:val="0000295A"/>
    <w:rsid w:val="00004C8B"/>
    <w:rsid w:val="00006922"/>
    <w:rsid w:val="0000732B"/>
    <w:rsid w:val="00020471"/>
    <w:rsid w:val="00024975"/>
    <w:rsid w:val="000334D7"/>
    <w:rsid w:val="000335CA"/>
    <w:rsid w:val="00036005"/>
    <w:rsid w:val="000472BD"/>
    <w:rsid w:val="00047F9B"/>
    <w:rsid w:val="000632E9"/>
    <w:rsid w:val="000646D6"/>
    <w:rsid w:val="00071439"/>
    <w:rsid w:val="00071B11"/>
    <w:rsid w:val="000737A0"/>
    <w:rsid w:val="00076E97"/>
    <w:rsid w:val="00082540"/>
    <w:rsid w:val="00084507"/>
    <w:rsid w:val="00086AF3"/>
    <w:rsid w:val="00091A51"/>
    <w:rsid w:val="000945FB"/>
    <w:rsid w:val="00095E7A"/>
    <w:rsid w:val="000A0B7D"/>
    <w:rsid w:val="000A1C90"/>
    <w:rsid w:val="000A6BF7"/>
    <w:rsid w:val="000B7CAC"/>
    <w:rsid w:val="000C03C0"/>
    <w:rsid w:val="000C2D22"/>
    <w:rsid w:val="000C3721"/>
    <w:rsid w:val="000C5F11"/>
    <w:rsid w:val="000D0B8B"/>
    <w:rsid w:val="000D3F85"/>
    <w:rsid w:val="000D468E"/>
    <w:rsid w:val="000D5B1E"/>
    <w:rsid w:val="000E524C"/>
    <w:rsid w:val="000E7E28"/>
    <w:rsid w:val="000E7EFF"/>
    <w:rsid w:val="000F16FA"/>
    <w:rsid w:val="000F2AE9"/>
    <w:rsid w:val="000F4FE4"/>
    <w:rsid w:val="000F5D90"/>
    <w:rsid w:val="000F5EE3"/>
    <w:rsid w:val="00100C6E"/>
    <w:rsid w:val="0010139F"/>
    <w:rsid w:val="00104ABB"/>
    <w:rsid w:val="00106033"/>
    <w:rsid w:val="001070E4"/>
    <w:rsid w:val="00111986"/>
    <w:rsid w:val="00113F23"/>
    <w:rsid w:val="00115911"/>
    <w:rsid w:val="00131D24"/>
    <w:rsid w:val="00137C41"/>
    <w:rsid w:val="001410FC"/>
    <w:rsid w:val="00141427"/>
    <w:rsid w:val="00144DEF"/>
    <w:rsid w:val="001456F8"/>
    <w:rsid w:val="00145954"/>
    <w:rsid w:val="001506FE"/>
    <w:rsid w:val="001508EA"/>
    <w:rsid w:val="0015291A"/>
    <w:rsid w:val="00157FA4"/>
    <w:rsid w:val="0016168A"/>
    <w:rsid w:val="00164535"/>
    <w:rsid w:val="00166884"/>
    <w:rsid w:val="00171971"/>
    <w:rsid w:val="00172388"/>
    <w:rsid w:val="00173F10"/>
    <w:rsid w:val="0018077C"/>
    <w:rsid w:val="00182542"/>
    <w:rsid w:val="001873A6"/>
    <w:rsid w:val="00190518"/>
    <w:rsid w:val="00190C9E"/>
    <w:rsid w:val="001938F2"/>
    <w:rsid w:val="00194F94"/>
    <w:rsid w:val="001A78F9"/>
    <w:rsid w:val="001B2CF3"/>
    <w:rsid w:val="001B3369"/>
    <w:rsid w:val="001C07C8"/>
    <w:rsid w:val="001C425C"/>
    <w:rsid w:val="001C5DAD"/>
    <w:rsid w:val="001C65B9"/>
    <w:rsid w:val="001D1D13"/>
    <w:rsid w:val="001D3614"/>
    <w:rsid w:val="001D37F9"/>
    <w:rsid w:val="001D3921"/>
    <w:rsid w:val="001E1E31"/>
    <w:rsid w:val="001E2849"/>
    <w:rsid w:val="001E4A94"/>
    <w:rsid w:val="001E5621"/>
    <w:rsid w:val="001E65AB"/>
    <w:rsid w:val="001E78A9"/>
    <w:rsid w:val="001F6234"/>
    <w:rsid w:val="00206288"/>
    <w:rsid w:val="00206A72"/>
    <w:rsid w:val="00210953"/>
    <w:rsid w:val="00210E10"/>
    <w:rsid w:val="00214FA0"/>
    <w:rsid w:val="00220A3B"/>
    <w:rsid w:val="00222B51"/>
    <w:rsid w:val="00222EF5"/>
    <w:rsid w:val="00224708"/>
    <w:rsid w:val="0022747A"/>
    <w:rsid w:val="00236669"/>
    <w:rsid w:val="0023795B"/>
    <w:rsid w:val="00245548"/>
    <w:rsid w:val="002569F7"/>
    <w:rsid w:val="00257564"/>
    <w:rsid w:val="00257DED"/>
    <w:rsid w:val="002614EC"/>
    <w:rsid w:val="002617D4"/>
    <w:rsid w:val="00262579"/>
    <w:rsid w:val="00273EF0"/>
    <w:rsid w:val="00276B37"/>
    <w:rsid w:val="0028013F"/>
    <w:rsid w:val="002816FE"/>
    <w:rsid w:val="0029155B"/>
    <w:rsid w:val="00295B44"/>
    <w:rsid w:val="00296AEE"/>
    <w:rsid w:val="00296BB1"/>
    <w:rsid w:val="002A34A3"/>
    <w:rsid w:val="002A4F60"/>
    <w:rsid w:val="002A5231"/>
    <w:rsid w:val="002A5484"/>
    <w:rsid w:val="002B2D48"/>
    <w:rsid w:val="002B7AC3"/>
    <w:rsid w:val="002C05BF"/>
    <w:rsid w:val="002C08FB"/>
    <w:rsid w:val="002C34EA"/>
    <w:rsid w:val="002D0156"/>
    <w:rsid w:val="002D2AB2"/>
    <w:rsid w:val="002D4C6F"/>
    <w:rsid w:val="002E1D8F"/>
    <w:rsid w:val="002E4CC3"/>
    <w:rsid w:val="002E6B2E"/>
    <w:rsid w:val="002F47F8"/>
    <w:rsid w:val="002F681C"/>
    <w:rsid w:val="00303BE1"/>
    <w:rsid w:val="00305AFC"/>
    <w:rsid w:val="00306430"/>
    <w:rsid w:val="00324EF7"/>
    <w:rsid w:val="003354E4"/>
    <w:rsid w:val="00340020"/>
    <w:rsid w:val="003502D4"/>
    <w:rsid w:val="0036001A"/>
    <w:rsid w:val="00362693"/>
    <w:rsid w:val="00363456"/>
    <w:rsid w:val="003716B3"/>
    <w:rsid w:val="0037447E"/>
    <w:rsid w:val="00393A6B"/>
    <w:rsid w:val="00395913"/>
    <w:rsid w:val="003A1F32"/>
    <w:rsid w:val="003A35D1"/>
    <w:rsid w:val="003B6526"/>
    <w:rsid w:val="003B6C6D"/>
    <w:rsid w:val="003B7CA3"/>
    <w:rsid w:val="003C0D6F"/>
    <w:rsid w:val="003C336D"/>
    <w:rsid w:val="003C45E4"/>
    <w:rsid w:val="003D1509"/>
    <w:rsid w:val="003D6DBD"/>
    <w:rsid w:val="003D7F6D"/>
    <w:rsid w:val="003E00B5"/>
    <w:rsid w:val="003E3268"/>
    <w:rsid w:val="003E3A1F"/>
    <w:rsid w:val="003E5063"/>
    <w:rsid w:val="003F12E4"/>
    <w:rsid w:val="003F2F06"/>
    <w:rsid w:val="003F62A2"/>
    <w:rsid w:val="003F723C"/>
    <w:rsid w:val="003F7834"/>
    <w:rsid w:val="00403256"/>
    <w:rsid w:val="00405C0A"/>
    <w:rsid w:val="00410B1B"/>
    <w:rsid w:val="00413039"/>
    <w:rsid w:val="004135A2"/>
    <w:rsid w:val="00413A3F"/>
    <w:rsid w:val="00414F2C"/>
    <w:rsid w:val="004217F1"/>
    <w:rsid w:val="00426CAA"/>
    <w:rsid w:val="00435F51"/>
    <w:rsid w:val="00436C4E"/>
    <w:rsid w:val="004455ED"/>
    <w:rsid w:val="00450B34"/>
    <w:rsid w:val="0045145A"/>
    <w:rsid w:val="004606A7"/>
    <w:rsid w:val="00461130"/>
    <w:rsid w:val="00461E3F"/>
    <w:rsid w:val="004639EE"/>
    <w:rsid w:val="0046413F"/>
    <w:rsid w:val="004662D9"/>
    <w:rsid w:val="00472BBD"/>
    <w:rsid w:val="00472EBE"/>
    <w:rsid w:val="0047310E"/>
    <w:rsid w:val="0047601C"/>
    <w:rsid w:val="00480F52"/>
    <w:rsid w:val="004831E9"/>
    <w:rsid w:val="00493BE9"/>
    <w:rsid w:val="004948F9"/>
    <w:rsid w:val="00494A96"/>
    <w:rsid w:val="00495817"/>
    <w:rsid w:val="00495F56"/>
    <w:rsid w:val="004A2298"/>
    <w:rsid w:val="004A3468"/>
    <w:rsid w:val="004A3BC5"/>
    <w:rsid w:val="004A48C2"/>
    <w:rsid w:val="004A5D04"/>
    <w:rsid w:val="004A5E5D"/>
    <w:rsid w:val="004A6705"/>
    <w:rsid w:val="004B13A3"/>
    <w:rsid w:val="004B48CC"/>
    <w:rsid w:val="004B4B77"/>
    <w:rsid w:val="004B747B"/>
    <w:rsid w:val="004B7A1E"/>
    <w:rsid w:val="004C188F"/>
    <w:rsid w:val="004C2710"/>
    <w:rsid w:val="004C30D9"/>
    <w:rsid w:val="004C5A1F"/>
    <w:rsid w:val="004C607C"/>
    <w:rsid w:val="004D5B45"/>
    <w:rsid w:val="004D7537"/>
    <w:rsid w:val="004E3F5E"/>
    <w:rsid w:val="004E45C3"/>
    <w:rsid w:val="004F1476"/>
    <w:rsid w:val="004F2982"/>
    <w:rsid w:val="004F2A16"/>
    <w:rsid w:val="004F375F"/>
    <w:rsid w:val="004F5C05"/>
    <w:rsid w:val="005055DA"/>
    <w:rsid w:val="00505D41"/>
    <w:rsid w:val="005065A3"/>
    <w:rsid w:val="00510A56"/>
    <w:rsid w:val="00512AC7"/>
    <w:rsid w:val="00517756"/>
    <w:rsid w:val="0052463D"/>
    <w:rsid w:val="005327E3"/>
    <w:rsid w:val="005369A8"/>
    <w:rsid w:val="0053749F"/>
    <w:rsid w:val="00540469"/>
    <w:rsid w:val="00541336"/>
    <w:rsid w:val="00541B50"/>
    <w:rsid w:val="00544378"/>
    <w:rsid w:val="00553A4C"/>
    <w:rsid w:val="00554335"/>
    <w:rsid w:val="005549FA"/>
    <w:rsid w:val="005555B5"/>
    <w:rsid w:val="005565CE"/>
    <w:rsid w:val="00560575"/>
    <w:rsid w:val="00560D4D"/>
    <w:rsid w:val="00560F63"/>
    <w:rsid w:val="0056520D"/>
    <w:rsid w:val="005708AE"/>
    <w:rsid w:val="005765FF"/>
    <w:rsid w:val="00577C77"/>
    <w:rsid w:val="005800CC"/>
    <w:rsid w:val="00585377"/>
    <w:rsid w:val="005860E9"/>
    <w:rsid w:val="00591C5D"/>
    <w:rsid w:val="005A0FA9"/>
    <w:rsid w:val="005A2E6D"/>
    <w:rsid w:val="005A4885"/>
    <w:rsid w:val="005B2FA7"/>
    <w:rsid w:val="005B6E05"/>
    <w:rsid w:val="005C152E"/>
    <w:rsid w:val="005C5932"/>
    <w:rsid w:val="005C64B5"/>
    <w:rsid w:val="005C6817"/>
    <w:rsid w:val="005D30F3"/>
    <w:rsid w:val="005E5ADA"/>
    <w:rsid w:val="005E6C4D"/>
    <w:rsid w:val="005F3F9F"/>
    <w:rsid w:val="005F43CE"/>
    <w:rsid w:val="005F5C5A"/>
    <w:rsid w:val="005F689D"/>
    <w:rsid w:val="00600F6B"/>
    <w:rsid w:val="006077CE"/>
    <w:rsid w:val="00611A4A"/>
    <w:rsid w:val="00612A82"/>
    <w:rsid w:val="006135E6"/>
    <w:rsid w:val="00615428"/>
    <w:rsid w:val="00615E5A"/>
    <w:rsid w:val="00616043"/>
    <w:rsid w:val="00622894"/>
    <w:rsid w:val="0063143C"/>
    <w:rsid w:val="00634998"/>
    <w:rsid w:val="00634E84"/>
    <w:rsid w:val="00640B2C"/>
    <w:rsid w:val="006419E5"/>
    <w:rsid w:val="00644244"/>
    <w:rsid w:val="00644A60"/>
    <w:rsid w:val="00645D7C"/>
    <w:rsid w:val="00645D8A"/>
    <w:rsid w:val="00650BFF"/>
    <w:rsid w:val="0065562C"/>
    <w:rsid w:val="00655691"/>
    <w:rsid w:val="006568EB"/>
    <w:rsid w:val="00667CAD"/>
    <w:rsid w:val="006723EE"/>
    <w:rsid w:val="00675019"/>
    <w:rsid w:val="00675D2C"/>
    <w:rsid w:val="00681D5E"/>
    <w:rsid w:val="00682925"/>
    <w:rsid w:val="00683998"/>
    <w:rsid w:val="006866A2"/>
    <w:rsid w:val="006878A6"/>
    <w:rsid w:val="006A1DAB"/>
    <w:rsid w:val="006A3260"/>
    <w:rsid w:val="006A4F81"/>
    <w:rsid w:val="006A6747"/>
    <w:rsid w:val="006A6898"/>
    <w:rsid w:val="006A7E5B"/>
    <w:rsid w:val="006B1A55"/>
    <w:rsid w:val="006B2E08"/>
    <w:rsid w:val="006B7928"/>
    <w:rsid w:val="006C0257"/>
    <w:rsid w:val="006C0E29"/>
    <w:rsid w:val="006C5C04"/>
    <w:rsid w:val="006C744A"/>
    <w:rsid w:val="006D30FE"/>
    <w:rsid w:val="006D3757"/>
    <w:rsid w:val="006E2425"/>
    <w:rsid w:val="006E3F3C"/>
    <w:rsid w:val="006E5B4F"/>
    <w:rsid w:val="006F394A"/>
    <w:rsid w:val="006F5C23"/>
    <w:rsid w:val="006F6B0E"/>
    <w:rsid w:val="006F7348"/>
    <w:rsid w:val="006F796D"/>
    <w:rsid w:val="007000E7"/>
    <w:rsid w:val="0070040A"/>
    <w:rsid w:val="0070155F"/>
    <w:rsid w:val="00706D55"/>
    <w:rsid w:val="0071344B"/>
    <w:rsid w:val="00720958"/>
    <w:rsid w:val="00722CD6"/>
    <w:rsid w:val="00722DDF"/>
    <w:rsid w:val="00723C50"/>
    <w:rsid w:val="00725310"/>
    <w:rsid w:val="0073209A"/>
    <w:rsid w:val="00735D09"/>
    <w:rsid w:val="007372A4"/>
    <w:rsid w:val="0073789D"/>
    <w:rsid w:val="00741B04"/>
    <w:rsid w:val="0075598D"/>
    <w:rsid w:val="00756AA3"/>
    <w:rsid w:val="0076115C"/>
    <w:rsid w:val="007664F3"/>
    <w:rsid w:val="0076789E"/>
    <w:rsid w:val="00770103"/>
    <w:rsid w:val="007710B6"/>
    <w:rsid w:val="00771267"/>
    <w:rsid w:val="00771F3F"/>
    <w:rsid w:val="00772955"/>
    <w:rsid w:val="00774BAD"/>
    <w:rsid w:val="00775F7D"/>
    <w:rsid w:val="00776095"/>
    <w:rsid w:val="0078441F"/>
    <w:rsid w:val="00784CF2"/>
    <w:rsid w:val="007908D3"/>
    <w:rsid w:val="0079197C"/>
    <w:rsid w:val="007926CD"/>
    <w:rsid w:val="00797ED4"/>
    <w:rsid w:val="007A2F9F"/>
    <w:rsid w:val="007A35B9"/>
    <w:rsid w:val="007A6A26"/>
    <w:rsid w:val="007B4C68"/>
    <w:rsid w:val="007B77D6"/>
    <w:rsid w:val="007C0B6E"/>
    <w:rsid w:val="007C0DD9"/>
    <w:rsid w:val="007C32ED"/>
    <w:rsid w:val="007D0C26"/>
    <w:rsid w:val="007D4836"/>
    <w:rsid w:val="007D6AEF"/>
    <w:rsid w:val="007E2C84"/>
    <w:rsid w:val="007E3545"/>
    <w:rsid w:val="007E44F7"/>
    <w:rsid w:val="007E46D2"/>
    <w:rsid w:val="007E52B5"/>
    <w:rsid w:val="007E57DB"/>
    <w:rsid w:val="007E64E7"/>
    <w:rsid w:val="007F0095"/>
    <w:rsid w:val="007F577F"/>
    <w:rsid w:val="007F5C37"/>
    <w:rsid w:val="007F6B20"/>
    <w:rsid w:val="007F7605"/>
    <w:rsid w:val="008054DB"/>
    <w:rsid w:val="00807F86"/>
    <w:rsid w:val="00811203"/>
    <w:rsid w:val="00811E5F"/>
    <w:rsid w:val="0081297C"/>
    <w:rsid w:val="00821B9E"/>
    <w:rsid w:val="00822642"/>
    <w:rsid w:val="008274A4"/>
    <w:rsid w:val="008338F7"/>
    <w:rsid w:val="008340C8"/>
    <w:rsid w:val="00835978"/>
    <w:rsid w:val="00836397"/>
    <w:rsid w:val="00840490"/>
    <w:rsid w:val="00845054"/>
    <w:rsid w:val="00846E6A"/>
    <w:rsid w:val="008479AE"/>
    <w:rsid w:val="0085287F"/>
    <w:rsid w:val="00852D1C"/>
    <w:rsid w:val="00855125"/>
    <w:rsid w:val="008554FA"/>
    <w:rsid w:val="0085575B"/>
    <w:rsid w:val="00856147"/>
    <w:rsid w:val="008566FA"/>
    <w:rsid w:val="00857437"/>
    <w:rsid w:val="00860F40"/>
    <w:rsid w:val="008615C9"/>
    <w:rsid w:val="00864020"/>
    <w:rsid w:val="00870308"/>
    <w:rsid w:val="0087616E"/>
    <w:rsid w:val="008875FC"/>
    <w:rsid w:val="00887AA5"/>
    <w:rsid w:val="008916D2"/>
    <w:rsid w:val="0089371F"/>
    <w:rsid w:val="00893A98"/>
    <w:rsid w:val="008942F1"/>
    <w:rsid w:val="008979D5"/>
    <w:rsid w:val="008A0B9C"/>
    <w:rsid w:val="008A15B1"/>
    <w:rsid w:val="008A4C3B"/>
    <w:rsid w:val="008A506B"/>
    <w:rsid w:val="008B2AD7"/>
    <w:rsid w:val="008B31C1"/>
    <w:rsid w:val="008B49E1"/>
    <w:rsid w:val="008B7821"/>
    <w:rsid w:val="008C093F"/>
    <w:rsid w:val="008C6AD5"/>
    <w:rsid w:val="008C6B7D"/>
    <w:rsid w:val="008C73C5"/>
    <w:rsid w:val="008C7C56"/>
    <w:rsid w:val="008D0FE4"/>
    <w:rsid w:val="008D5A34"/>
    <w:rsid w:val="008D6B14"/>
    <w:rsid w:val="008D6B7E"/>
    <w:rsid w:val="008D6D8B"/>
    <w:rsid w:val="008D7845"/>
    <w:rsid w:val="008E1C60"/>
    <w:rsid w:val="008E2BE1"/>
    <w:rsid w:val="008E5329"/>
    <w:rsid w:val="008F1213"/>
    <w:rsid w:val="008F1C40"/>
    <w:rsid w:val="008F6592"/>
    <w:rsid w:val="009009AC"/>
    <w:rsid w:val="00901C87"/>
    <w:rsid w:val="00902E4F"/>
    <w:rsid w:val="00905076"/>
    <w:rsid w:val="00906030"/>
    <w:rsid w:val="00912F90"/>
    <w:rsid w:val="009168F4"/>
    <w:rsid w:val="0092372B"/>
    <w:rsid w:val="00923B23"/>
    <w:rsid w:val="00926582"/>
    <w:rsid w:val="0092692B"/>
    <w:rsid w:val="00930A79"/>
    <w:rsid w:val="00931337"/>
    <w:rsid w:val="009344B5"/>
    <w:rsid w:val="00934C8C"/>
    <w:rsid w:val="00937ED0"/>
    <w:rsid w:val="00940C57"/>
    <w:rsid w:val="00942FF9"/>
    <w:rsid w:val="009464D3"/>
    <w:rsid w:val="00946668"/>
    <w:rsid w:val="00947452"/>
    <w:rsid w:val="009503B4"/>
    <w:rsid w:val="00950ECF"/>
    <w:rsid w:val="00952797"/>
    <w:rsid w:val="00952850"/>
    <w:rsid w:val="00961DDA"/>
    <w:rsid w:val="009636B8"/>
    <w:rsid w:val="00971A35"/>
    <w:rsid w:val="00973492"/>
    <w:rsid w:val="009777D3"/>
    <w:rsid w:val="00977B9B"/>
    <w:rsid w:val="00977EEC"/>
    <w:rsid w:val="009802B1"/>
    <w:rsid w:val="009859E6"/>
    <w:rsid w:val="00986BAA"/>
    <w:rsid w:val="009900BB"/>
    <w:rsid w:val="00991386"/>
    <w:rsid w:val="009973BC"/>
    <w:rsid w:val="009A03B8"/>
    <w:rsid w:val="009A0A5D"/>
    <w:rsid w:val="009A0FD2"/>
    <w:rsid w:val="009A52ED"/>
    <w:rsid w:val="009A7A66"/>
    <w:rsid w:val="009B1D77"/>
    <w:rsid w:val="009B5423"/>
    <w:rsid w:val="009B6F1E"/>
    <w:rsid w:val="009C037A"/>
    <w:rsid w:val="009C09A2"/>
    <w:rsid w:val="009C503C"/>
    <w:rsid w:val="009C5078"/>
    <w:rsid w:val="009C558C"/>
    <w:rsid w:val="009C6933"/>
    <w:rsid w:val="009D2762"/>
    <w:rsid w:val="009D2E8B"/>
    <w:rsid w:val="009D6BD8"/>
    <w:rsid w:val="009D7A4D"/>
    <w:rsid w:val="009E5131"/>
    <w:rsid w:val="009F0403"/>
    <w:rsid w:val="009F5FED"/>
    <w:rsid w:val="00A04C7A"/>
    <w:rsid w:val="00A0559D"/>
    <w:rsid w:val="00A058E5"/>
    <w:rsid w:val="00A07A6C"/>
    <w:rsid w:val="00A10C1A"/>
    <w:rsid w:val="00A144E7"/>
    <w:rsid w:val="00A1588F"/>
    <w:rsid w:val="00A2072E"/>
    <w:rsid w:val="00A237BB"/>
    <w:rsid w:val="00A319E7"/>
    <w:rsid w:val="00A342A5"/>
    <w:rsid w:val="00A42885"/>
    <w:rsid w:val="00A43180"/>
    <w:rsid w:val="00A436ED"/>
    <w:rsid w:val="00A45919"/>
    <w:rsid w:val="00A45C6F"/>
    <w:rsid w:val="00A474AF"/>
    <w:rsid w:val="00A509AB"/>
    <w:rsid w:val="00A516B4"/>
    <w:rsid w:val="00A52FA9"/>
    <w:rsid w:val="00A53515"/>
    <w:rsid w:val="00A5482F"/>
    <w:rsid w:val="00A56135"/>
    <w:rsid w:val="00A56409"/>
    <w:rsid w:val="00A56D93"/>
    <w:rsid w:val="00A579E2"/>
    <w:rsid w:val="00A6579B"/>
    <w:rsid w:val="00A7026B"/>
    <w:rsid w:val="00A7077F"/>
    <w:rsid w:val="00A717D5"/>
    <w:rsid w:val="00A77B8A"/>
    <w:rsid w:val="00A77C53"/>
    <w:rsid w:val="00A82078"/>
    <w:rsid w:val="00A838C8"/>
    <w:rsid w:val="00A84F10"/>
    <w:rsid w:val="00A90843"/>
    <w:rsid w:val="00A91C42"/>
    <w:rsid w:val="00A9432E"/>
    <w:rsid w:val="00A9516B"/>
    <w:rsid w:val="00A96027"/>
    <w:rsid w:val="00A97365"/>
    <w:rsid w:val="00A9780A"/>
    <w:rsid w:val="00AA00AF"/>
    <w:rsid w:val="00AA2FC9"/>
    <w:rsid w:val="00AA373C"/>
    <w:rsid w:val="00AA3837"/>
    <w:rsid w:val="00AA7A02"/>
    <w:rsid w:val="00AB05A0"/>
    <w:rsid w:val="00AB283D"/>
    <w:rsid w:val="00AB4640"/>
    <w:rsid w:val="00AB5F8E"/>
    <w:rsid w:val="00AC2C53"/>
    <w:rsid w:val="00AC7CF8"/>
    <w:rsid w:val="00AD1958"/>
    <w:rsid w:val="00AD312E"/>
    <w:rsid w:val="00AD65D9"/>
    <w:rsid w:val="00AE242F"/>
    <w:rsid w:val="00AE3EAF"/>
    <w:rsid w:val="00AE4C72"/>
    <w:rsid w:val="00AE7E3D"/>
    <w:rsid w:val="00AF1679"/>
    <w:rsid w:val="00AF3C4D"/>
    <w:rsid w:val="00B01F11"/>
    <w:rsid w:val="00B024B0"/>
    <w:rsid w:val="00B11233"/>
    <w:rsid w:val="00B12F14"/>
    <w:rsid w:val="00B14BE2"/>
    <w:rsid w:val="00B21532"/>
    <w:rsid w:val="00B318CD"/>
    <w:rsid w:val="00B34EDA"/>
    <w:rsid w:val="00B35A93"/>
    <w:rsid w:val="00B36F92"/>
    <w:rsid w:val="00B404C7"/>
    <w:rsid w:val="00B409ED"/>
    <w:rsid w:val="00B45091"/>
    <w:rsid w:val="00B5003D"/>
    <w:rsid w:val="00B51748"/>
    <w:rsid w:val="00B55F8C"/>
    <w:rsid w:val="00B57198"/>
    <w:rsid w:val="00B67FC7"/>
    <w:rsid w:val="00B715C7"/>
    <w:rsid w:val="00B71ECE"/>
    <w:rsid w:val="00B83170"/>
    <w:rsid w:val="00B84A88"/>
    <w:rsid w:val="00B85023"/>
    <w:rsid w:val="00B92B94"/>
    <w:rsid w:val="00B93BC2"/>
    <w:rsid w:val="00B94F45"/>
    <w:rsid w:val="00B9671B"/>
    <w:rsid w:val="00BA2456"/>
    <w:rsid w:val="00BA3AE7"/>
    <w:rsid w:val="00BA469B"/>
    <w:rsid w:val="00BA610E"/>
    <w:rsid w:val="00BB4A5B"/>
    <w:rsid w:val="00BC1BFD"/>
    <w:rsid w:val="00BC2F60"/>
    <w:rsid w:val="00BC516A"/>
    <w:rsid w:val="00BC56F0"/>
    <w:rsid w:val="00BD140A"/>
    <w:rsid w:val="00BD3ABE"/>
    <w:rsid w:val="00BD7F65"/>
    <w:rsid w:val="00BE198E"/>
    <w:rsid w:val="00BE6406"/>
    <w:rsid w:val="00BF2534"/>
    <w:rsid w:val="00BF4C3B"/>
    <w:rsid w:val="00BF79DC"/>
    <w:rsid w:val="00C02D61"/>
    <w:rsid w:val="00C04FA5"/>
    <w:rsid w:val="00C075F7"/>
    <w:rsid w:val="00C156FF"/>
    <w:rsid w:val="00C1685B"/>
    <w:rsid w:val="00C21C53"/>
    <w:rsid w:val="00C22D58"/>
    <w:rsid w:val="00C248BD"/>
    <w:rsid w:val="00C2496C"/>
    <w:rsid w:val="00C24FA6"/>
    <w:rsid w:val="00C2705C"/>
    <w:rsid w:val="00C351FA"/>
    <w:rsid w:val="00C35DE1"/>
    <w:rsid w:val="00C36D70"/>
    <w:rsid w:val="00C3795C"/>
    <w:rsid w:val="00C45E8E"/>
    <w:rsid w:val="00C45EEB"/>
    <w:rsid w:val="00C524AA"/>
    <w:rsid w:val="00C52F34"/>
    <w:rsid w:val="00C53900"/>
    <w:rsid w:val="00C54689"/>
    <w:rsid w:val="00C61302"/>
    <w:rsid w:val="00C70148"/>
    <w:rsid w:val="00C7019D"/>
    <w:rsid w:val="00C779E0"/>
    <w:rsid w:val="00C81B3A"/>
    <w:rsid w:val="00C865C6"/>
    <w:rsid w:val="00C93B5B"/>
    <w:rsid w:val="00CA4D36"/>
    <w:rsid w:val="00CA4EE0"/>
    <w:rsid w:val="00CA76B8"/>
    <w:rsid w:val="00CB1954"/>
    <w:rsid w:val="00CB3F73"/>
    <w:rsid w:val="00CB5972"/>
    <w:rsid w:val="00CB6BDA"/>
    <w:rsid w:val="00CB6C08"/>
    <w:rsid w:val="00CD0DCA"/>
    <w:rsid w:val="00CD36FD"/>
    <w:rsid w:val="00CD6EA0"/>
    <w:rsid w:val="00CE18B8"/>
    <w:rsid w:val="00CE3067"/>
    <w:rsid w:val="00CF2E31"/>
    <w:rsid w:val="00CF6B3A"/>
    <w:rsid w:val="00D01BD9"/>
    <w:rsid w:val="00D01CFE"/>
    <w:rsid w:val="00D04CF2"/>
    <w:rsid w:val="00D12E75"/>
    <w:rsid w:val="00D12F61"/>
    <w:rsid w:val="00D146E9"/>
    <w:rsid w:val="00D179BE"/>
    <w:rsid w:val="00D201C6"/>
    <w:rsid w:val="00D26919"/>
    <w:rsid w:val="00D32A48"/>
    <w:rsid w:val="00D408F1"/>
    <w:rsid w:val="00D42687"/>
    <w:rsid w:val="00D448F1"/>
    <w:rsid w:val="00D53DFA"/>
    <w:rsid w:val="00D5710F"/>
    <w:rsid w:val="00D57DB9"/>
    <w:rsid w:val="00D638E0"/>
    <w:rsid w:val="00D640B5"/>
    <w:rsid w:val="00D6642A"/>
    <w:rsid w:val="00D673DF"/>
    <w:rsid w:val="00D67C29"/>
    <w:rsid w:val="00D716BA"/>
    <w:rsid w:val="00D73777"/>
    <w:rsid w:val="00D757C3"/>
    <w:rsid w:val="00D764BA"/>
    <w:rsid w:val="00D80AB7"/>
    <w:rsid w:val="00D811A6"/>
    <w:rsid w:val="00D8404D"/>
    <w:rsid w:val="00D878EA"/>
    <w:rsid w:val="00D9029B"/>
    <w:rsid w:val="00DA0F87"/>
    <w:rsid w:val="00DB0E88"/>
    <w:rsid w:val="00DB1979"/>
    <w:rsid w:val="00DB3A1C"/>
    <w:rsid w:val="00DB5E9D"/>
    <w:rsid w:val="00DC2952"/>
    <w:rsid w:val="00DC3647"/>
    <w:rsid w:val="00DD11FE"/>
    <w:rsid w:val="00DD3F0A"/>
    <w:rsid w:val="00DD441D"/>
    <w:rsid w:val="00DD4764"/>
    <w:rsid w:val="00DD7DAA"/>
    <w:rsid w:val="00DE2A1E"/>
    <w:rsid w:val="00DE342F"/>
    <w:rsid w:val="00DE4FF1"/>
    <w:rsid w:val="00DE7A82"/>
    <w:rsid w:val="00DF1AB7"/>
    <w:rsid w:val="00DF23F4"/>
    <w:rsid w:val="00DF3159"/>
    <w:rsid w:val="00DF3DFA"/>
    <w:rsid w:val="00DF72A8"/>
    <w:rsid w:val="00E00C46"/>
    <w:rsid w:val="00E07C02"/>
    <w:rsid w:val="00E10599"/>
    <w:rsid w:val="00E10809"/>
    <w:rsid w:val="00E11208"/>
    <w:rsid w:val="00E118D3"/>
    <w:rsid w:val="00E12B06"/>
    <w:rsid w:val="00E15392"/>
    <w:rsid w:val="00E15BF6"/>
    <w:rsid w:val="00E20000"/>
    <w:rsid w:val="00E22310"/>
    <w:rsid w:val="00E230E0"/>
    <w:rsid w:val="00E24EE5"/>
    <w:rsid w:val="00E31F95"/>
    <w:rsid w:val="00E35E32"/>
    <w:rsid w:val="00E412AF"/>
    <w:rsid w:val="00E41EAF"/>
    <w:rsid w:val="00E450F2"/>
    <w:rsid w:val="00E52F0D"/>
    <w:rsid w:val="00E54458"/>
    <w:rsid w:val="00E561DB"/>
    <w:rsid w:val="00E70DA4"/>
    <w:rsid w:val="00E71CB9"/>
    <w:rsid w:val="00E73698"/>
    <w:rsid w:val="00E740FB"/>
    <w:rsid w:val="00E77521"/>
    <w:rsid w:val="00E77E23"/>
    <w:rsid w:val="00E8251C"/>
    <w:rsid w:val="00E844A0"/>
    <w:rsid w:val="00E85817"/>
    <w:rsid w:val="00E86292"/>
    <w:rsid w:val="00E92703"/>
    <w:rsid w:val="00E94406"/>
    <w:rsid w:val="00E95489"/>
    <w:rsid w:val="00EA1ED2"/>
    <w:rsid w:val="00EA3A82"/>
    <w:rsid w:val="00EA457D"/>
    <w:rsid w:val="00EA7FB0"/>
    <w:rsid w:val="00EB4ECA"/>
    <w:rsid w:val="00EC32FD"/>
    <w:rsid w:val="00EC4AAB"/>
    <w:rsid w:val="00EC55BA"/>
    <w:rsid w:val="00EC7578"/>
    <w:rsid w:val="00EE32E4"/>
    <w:rsid w:val="00EE6A23"/>
    <w:rsid w:val="00EE7873"/>
    <w:rsid w:val="00EF0F54"/>
    <w:rsid w:val="00EF1F69"/>
    <w:rsid w:val="00EF56F4"/>
    <w:rsid w:val="00EF5E5D"/>
    <w:rsid w:val="00F02DDB"/>
    <w:rsid w:val="00F04849"/>
    <w:rsid w:val="00F05496"/>
    <w:rsid w:val="00F05B47"/>
    <w:rsid w:val="00F0687C"/>
    <w:rsid w:val="00F077F8"/>
    <w:rsid w:val="00F07C34"/>
    <w:rsid w:val="00F10D19"/>
    <w:rsid w:val="00F13D43"/>
    <w:rsid w:val="00F13ED2"/>
    <w:rsid w:val="00F172C9"/>
    <w:rsid w:val="00F20A25"/>
    <w:rsid w:val="00F21696"/>
    <w:rsid w:val="00F21A27"/>
    <w:rsid w:val="00F21ECC"/>
    <w:rsid w:val="00F2273E"/>
    <w:rsid w:val="00F27ACB"/>
    <w:rsid w:val="00F31F27"/>
    <w:rsid w:val="00F32E2B"/>
    <w:rsid w:val="00F355E8"/>
    <w:rsid w:val="00F3616F"/>
    <w:rsid w:val="00F3665A"/>
    <w:rsid w:val="00F454DE"/>
    <w:rsid w:val="00F5444D"/>
    <w:rsid w:val="00F56BCF"/>
    <w:rsid w:val="00F57675"/>
    <w:rsid w:val="00F618F3"/>
    <w:rsid w:val="00F6618F"/>
    <w:rsid w:val="00F6650E"/>
    <w:rsid w:val="00F70DD5"/>
    <w:rsid w:val="00F73165"/>
    <w:rsid w:val="00F73569"/>
    <w:rsid w:val="00F7765F"/>
    <w:rsid w:val="00F80380"/>
    <w:rsid w:val="00F843B6"/>
    <w:rsid w:val="00F84C9B"/>
    <w:rsid w:val="00F90BCE"/>
    <w:rsid w:val="00F93F90"/>
    <w:rsid w:val="00FA1133"/>
    <w:rsid w:val="00FA3A49"/>
    <w:rsid w:val="00FA7D42"/>
    <w:rsid w:val="00FB4322"/>
    <w:rsid w:val="00FB5081"/>
    <w:rsid w:val="00FC2881"/>
    <w:rsid w:val="00FC6883"/>
    <w:rsid w:val="00FC7119"/>
    <w:rsid w:val="00FD4AC1"/>
    <w:rsid w:val="00FD6136"/>
    <w:rsid w:val="00FD7AB3"/>
    <w:rsid w:val="00FD7DC1"/>
    <w:rsid w:val="00FE1B0F"/>
    <w:rsid w:val="00FE63EA"/>
    <w:rsid w:val="00FE728F"/>
    <w:rsid w:val="00FF39DE"/>
    <w:rsid w:val="00FF65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150837F-70BC-4FD5-A165-ABB57BB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text">
    <w:name w:val="AHPRA body text"/>
    <w:basedOn w:val="Normal"/>
    <w:rsid w:val="00A56409"/>
    <w:rPr>
      <w:rFonts w:cs="Arial"/>
      <w:sz w:val="20"/>
      <w:lang w:val="en-US"/>
    </w:rPr>
  </w:style>
  <w:style w:type="paragraph" w:customStyle="1" w:styleId="AHPRAHeadline">
    <w:name w:val="AHPRA Headline"/>
    <w:basedOn w:val="Normal"/>
    <w:qFormat/>
    <w:rsid w:val="00A56409"/>
    <w:rPr>
      <w:color w:val="008EC4"/>
      <w:sz w:val="28"/>
      <w:lang w:val="en-US"/>
    </w:rPr>
  </w:style>
  <w:style w:type="paragraph" w:styleId="ListParagraph">
    <w:name w:val="List Paragraph"/>
    <w:basedOn w:val="Normal"/>
    <w:link w:val="ListParagraphChar"/>
    <w:uiPriority w:val="34"/>
    <w:unhideWhenUsed/>
    <w:qFormat/>
    <w:rsid w:val="00A56409"/>
    <w:pPr>
      <w:ind w:left="720"/>
      <w:contextualSpacing/>
    </w:pPr>
  </w:style>
  <w:style w:type="paragraph" w:customStyle="1" w:styleId="Default">
    <w:name w:val="Default"/>
    <w:rsid w:val="00A56409"/>
    <w:pPr>
      <w:autoSpaceDE w:val="0"/>
      <w:autoSpaceDN w:val="0"/>
      <w:adjustRightInd w:val="0"/>
    </w:pPr>
    <w:rPr>
      <w:rFonts w:cs="Arial"/>
      <w:color w:val="000000"/>
      <w:sz w:val="24"/>
      <w:szCs w:val="24"/>
      <w:lang w:val="en-AU"/>
    </w:rPr>
  </w:style>
  <w:style w:type="paragraph" w:customStyle="1" w:styleId="AHPRASubhead">
    <w:name w:val="AHPRA Subhead"/>
    <w:basedOn w:val="Normal"/>
    <w:qFormat/>
    <w:rsid w:val="00A56409"/>
    <w:rPr>
      <w:b/>
      <w:color w:val="008EC4"/>
      <w:sz w:val="20"/>
      <w:lang w:val="en-US"/>
    </w:rPr>
  </w:style>
  <w:style w:type="character" w:customStyle="1" w:styleId="ListParagraphChar">
    <w:name w:val="List Paragraph Char"/>
    <w:link w:val="ListParagraph"/>
    <w:uiPriority w:val="34"/>
    <w:locked/>
    <w:rsid w:val="00A56409"/>
    <w:rPr>
      <w:sz w:val="24"/>
      <w:szCs w:val="24"/>
      <w:lang w:val="en-AU"/>
    </w:rPr>
  </w:style>
  <w:style w:type="paragraph" w:customStyle="1" w:styleId="AHPRAsubheadinglevel20">
    <w:name w:val="AHPRA subheading level 2"/>
    <w:basedOn w:val="AHPRASubhead"/>
    <w:qFormat/>
    <w:rsid w:val="00A56409"/>
    <w:pPr>
      <w:spacing w:line="276" w:lineRule="auto"/>
    </w:pPr>
    <w:rPr>
      <w:rFonts w:cs="Arial"/>
      <w:color w:val="auto"/>
      <w:szCs w:val="20"/>
      <w:lang w:val="en-AU"/>
    </w:rPr>
  </w:style>
  <w:style w:type="paragraph" w:customStyle="1" w:styleId="para">
    <w:name w:val="para"/>
    <w:uiPriority w:val="1"/>
    <w:qFormat/>
    <w:rsid w:val="00A56409"/>
    <w:pPr>
      <w:spacing w:after="240"/>
      <w:ind w:left="425"/>
    </w:pPr>
    <w:rPr>
      <w:rFonts w:eastAsia="Calibri"/>
      <w:szCs w:val="28"/>
      <w:lang w:val="en-AU"/>
    </w:rPr>
  </w:style>
  <w:style w:type="character" w:styleId="CommentReference">
    <w:name w:val="annotation reference"/>
    <w:basedOn w:val="DefaultParagraphFont"/>
    <w:uiPriority w:val="1"/>
    <w:semiHidden/>
    <w:unhideWhenUsed/>
    <w:rsid w:val="007E64E7"/>
    <w:rPr>
      <w:sz w:val="16"/>
      <w:szCs w:val="16"/>
    </w:rPr>
  </w:style>
  <w:style w:type="paragraph" w:styleId="CommentText">
    <w:name w:val="annotation text"/>
    <w:basedOn w:val="Normal"/>
    <w:link w:val="CommentTextChar"/>
    <w:uiPriority w:val="1"/>
    <w:unhideWhenUsed/>
    <w:rsid w:val="007E64E7"/>
    <w:rPr>
      <w:sz w:val="20"/>
      <w:szCs w:val="20"/>
    </w:rPr>
  </w:style>
  <w:style w:type="character" w:customStyle="1" w:styleId="CommentTextChar">
    <w:name w:val="Comment Text Char"/>
    <w:basedOn w:val="DefaultParagraphFont"/>
    <w:link w:val="CommentText"/>
    <w:uiPriority w:val="1"/>
    <w:rsid w:val="007E64E7"/>
    <w:rPr>
      <w:lang w:val="en-AU"/>
    </w:rPr>
  </w:style>
  <w:style w:type="paragraph" w:styleId="CommentSubject">
    <w:name w:val="annotation subject"/>
    <w:basedOn w:val="CommentText"/>
    <w:next w:val="CommentText"/>
    <w:link w:val="CommentSubjectChar"/>
    <w:uiPriority w:val="1"/>
    <w:semiHidden/>
    <w:unhideWhenUsed/>
    <w:rsid w:val="007E64E7"/>
    <w:rPr>
      <w:b/>
      <w:bCs/>
    </w:rPr>
  </w:style>
  <w:style w:type="character" w:customStyle="1" w:styleId="CommentSubjectChar">
    <w:name w:val="Comment Subject Char"/>
    <w:basedOn w:val="CommentTextChar"/>
    <w:link w:val="CommentSubject"/>
    <w:uiPriority w:val="1"/>
    <w:semiHidden/>
    <w:rsid w:val="007E64E7"/>
    <w:rPr>
      <w:b/>
      <w:bCs/>
      <w:lang w:val="en-AU"/>
    </w:rPr>
  </w:style>
  <w:style w:type="paragraph" w:styleId="NormalWeb">
    <w:name w:val="Normal (Web)"/>
    <w:basedOn w:val="Normal"/>
    <w:uiPriority w:val="99"/>
    <w:semiHidden/>
    <w:unhideWhenUsed/>
    <w:rsid w:val="00E24EE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basedOn w:val="DefaultParagraphFont"/>
    <w:rsid w:val="00E24EE5"/>
  </w:style>
  <w:style w:type="character" w:customStyle="1" w:styleId="AHPRASubheadingChar">
    <w:name w:val="AHPRA Subheading Char"/>
    <w:basedOn w:val="DefaultParagraphFont"/>
    <w:link w:val="AHPRASubheading"/>
    <w:rsid w:val="002E4CC3"/>
    <w:rPr>
      <w:b/>
      <w:color w:val="007DC3"/>
      <w:szCs w:val="24"/>
      <w:lang w:val="en-AU"/>
    </w:rPr>
  </w:style>
  <w:style w:type="paragraph" w:customStyle="1" w:styleId="AHPRAbodyContextparanumbered">
    <w:name w:val="AHPRA body 'Context' para numbered"/>
    <w:uiPriority w:val="1"/>
    <w:qFormat/>
    <w:rsid w:val="002E4CC3"/>
    <w:pPr>
      <w:numPr>
        <w:numId w:val="11"/>
      </w:numPr>
      <w:spacing w:after="200"/>
    </w:pPr>
    <w:rPr>
      <w:rFonts w:cs="Arial"/>
      <w:szCs w:val="24"/>
      <w:lang w:val="en-AU"/>
    </w:rPr>
  </w:style>
  <w:style w:type="paragraph" w:styleId="Revision">
    <w:name w:val="Revision"/>
    <w:hidden/>
    <w:rsid w:val="00461E3F"/>
    <w:rPr>
      <w:sz w:val="24"/>
      <w:szCs w:val="24"/>
      <w:lang w:val="en-AU"/>
    </w:rPr>
  </w:style>
  <w:style w:type="paragraph" w:styleId="Footer">
    <w:name w:val="footer"/>
    <w:basedOn w:val="Normal"/>
    <w:link w:val="FooterChar"/>
    <w:uiPriority w:val="99"/>
    <w:rsid w:val="008B7821"/>
    <w:pPr>
      <w:tabs>
        <w:tab w:val="center" w:pos="4513"/>
        <w:tab w:val="right" w:pos="9026"/>
      </w:tabs>
      <w:spacing w:after="0"/>
    </w:pPr>
  </w:style>
  <w:style w:type="character" w:customStyle="1" w:styleId="FooterChar">
    <w:name w:val="Footer Char"/>
    <w:basedOn w:val="DefaultParagraphFont"/>
    <w:link w:val="Footer"/>
    <w:uiPriority w:val="99"/>
    <w:rsid w:val="008B7821"/>
    <w:rPr>
      <w:sz w:val="24"/>
      <w:szCs w:val="24"/>
      <w:lang w:val="en-AU"/>
    </w:rPr>
  </w:style>
  <w:style w:type="character" w:styleId="FollowedHyperlink">
    <w:name w:val="FollowedHyperlink"/>
    <w:basedOn w:val="DefaultParagraphFont"/>
    <w:uiPriority w:val="1"/>
    <w:semiHidden/>
    <w:unhideWhenUsed/>
    <w:rsid w:val="00DB0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30035669">
      <w:bodyDiv w:val="1"/>
      <w:marLeft w:val="0"/>
      <w:marRight w:val="0"/>
      <w:marTop w:val="0"/>
      <w:marBottom w:val="0"/>
      <w:divBdr>
        <w:top w:val="none" w:sz="0" w:space="0" w:color="auto"/>
        <w:left w:val="none" w:sz="0" w:space="0" w:color="auto"/>
        <w:bottom w:val="none" w:sz="0" w:space="0" w:color="auto"/>
        <w:right w:val="none" w:sz="0" w:space="0" w:color="auto"/>
      </w:divBdr>
    </w:div>
    <w:div w:id="1131048187">
      <w:bodyDiv w:val="1"/>
      <w:marLeft w:val="0"/>
      <w:marRight w:val="0"/>
      <w:marTop w:val="0"/>
      <w:marBottom w:val="0"/>
      <w:divBdr>
        <w:top w:val="none" w:sz="0" w:space="0" w:color="auto"/>
        <w:left w:val="none" w:sz="0" w:space="0" w:color="auto"/>
        <w:bottom w:val="none" w:sz="0" w:space="0" w:color="auto"/>
        <w:right w:val="none" w:sz="0" w:space="0" w:color="auto"/>
      </w:divBdr>
    </w:div>
    <w:div w:id="1144740293">
      <w:bodyDiv w:val="1"/>
      <w:marLeft w:val="0"/>
      <w:marRight w:val="0"/>
      <w:marTop w:val="0"/>
      <w:marBottom w:val="0"/>
      <w:divBdr>
        <w:top w:val="none" w:sz="0" w:space="0" w:color="auto"/>
        <w:left w:val="none" w:sz="0" w:space="0" w:color="auto"/>
        <w:bottom w:val="none" w:sz="0" w:space="0" w:color="auto"/>
        <w:right w:val="none" w:sz="0" w:space="0" w:color="auto"/>
      </w:divBdr>
    </w:div>
    <w:div w:id="1496533638">
      <w:bodyDiv w:val="1"/>
      <w:marLeft w:val="0"/>
      <w:marRight w:val="0"/>
      <w:marTop w:val="0"/>
      <w:marBottom w:val="0"/>
      <w:divBdr>
        <w:top w:val="none" w:sz="0" w:space="0" w:color="auto"/>
        <w:left w:val="none" w:sz="0" w:space="0" w:color="auto"/>
        <w:bottom w:val="none" w:sz="0" w:space="0" w:color="auto"/>
        <w:right w:val="none" w:sz="0" w:space="0" w:color="auto"/>
      </w:divBdr>
    </w:div>
    <w:div w:id="17810996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About-AHPRA/Regulatory-principle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About-AHPRA/What-We-Do/Legislatio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documents/default.aspx?record=WD13%2f11850&amp;dbid=AP&amp;chksum=LIT7xZCKZcEtZ74DfIHgfA%3d%3d" TargetMode="External"/><Relationship Id="rId5" Type="http://schemas.openxmlformats.org/officeDocument/2006/relationships/webSettings" Target="webSettings.xml"/><Relationship Id="rId15" Type="http://schemas.openxmlformats.org/officeDocument/2006/relationships/hyperlink" Target="http://www.ahpra.gov.au/News/2014-07-01-regulatory-principles.aspx" TargetMode="External"/><Relationship Id="rId10" Type="http://schemas.openxmlformats.org/officeDocument/2006/relationships/hyperlink" Target="http://www.ahpra.gov.au/News/Consultations/Past-Consulta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News/Consultations/Past-Consultations.aspx" TargetMode="External"/><Relationship Id="rId14" Type="http://schemas.openxmlformats.org/officeDocument/2006/relationships/hyperlink" Target="https://www.ahpra.gov.au/National-Board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News/Consultations/Past-Consult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Local\Microsoft\Windows\Temporary%20Internet%20Files\Content.IE5\GRIMXATV\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1257-8C92-4E2D-BEAB-DB4DD9A3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11</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24250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history checksConsultation report</dc:title>
  <dc:subject>Report</dc:subject>
  <dc:creator>AHPRA</dc:creator>
  <cp:lastModifiedBy>Gareth Meade</cp:lastModifiedBy>
  <cp:revision>2</cp:revision>
  <cp:lastPrinted>2014-10-02T02:48:00Z</cp:lastPrinted>
  <dcterms:created xsi:type="dcterms:W3CDTF">2014-11-18T04:34:00Z</dcterms:created>
  <dcterms:modified xsi:type="dcterms:W3CDTF">2014-11-18T04:34:00Z</dcterms:modified>
</cp:coreProperties>
</file>