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6B23117D" w14:textId="5CFEED9D" w:rsidR="00FC2881" w:rsidRPr="00C3795C" w:rsidRDefault="009335E8" w:rsidP="00933803">
      <w:pPr>
        <w:pStyle w:val="AHPRADocumenttitle"/>
        <w:spacing w:before="0" w:after="0"/>
      </w:pPr>
      <w:r>
        <w:rPr>
          <w:noProof/>
          <w:lang w:eastAsia="en-AU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3CCD6C41" wp14:editId="2FBED1CE">
                <wp:simplePos x="0" y="0"/>
                <wp:positionH relativeFrom="column">
                  <wp:posOffset>-804545</wp:posOffset>
                </wp:positionH>
                <wp:positionV relativeFrom="paragraph">
                  <wp:posOffset>462280</wp:posOffset>
                </wp:positionV>
                <wp:extent cx="2103120" cy="0"/>
                <wp:effectExtent l="0" t="0" r="3048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D3E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3.35pt;margin-top:36.4pt;width:165.6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6a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pr58Qza5hBVyp3xDdKTfNXPin63SKqyJbLhIfjtrCE38RnRuxR/sRqK7IcvikEMAfww&#10;q1Nteg8JU0CnIMn5Jgk/OUThY5rEsyQF5ejoi0g+Jmpj3WeueuSNAltniGhaVyopQXhlklCGHJ+t&#10;87RIPib4qlJtRdcF/TuJhgIv5+k8JFjVCeadPsyaZl92Bh2J36DwCz2C5z7MqINkAazlhG2utiOi&#10;u9hQvJMeDxoDOlfrsiI/lvFys9gsskmWPmwmWVxVk6dtmU0etsmneTWryrJKfnpqSZa3gjEuPbtx&#10;XZPs79bh+nAui3Zb2NsYovfoYV5AdvwPpIOyXszLWuwVO+/MqDhsaAi+vib/BO7vYN+/+fUvAAAA&#10;//8DAFBLAwQUAAYACAAAACEAuFnF3d4AAAAKAQAADwAAAGRycy9kb3ducmV2LnhtbEyPwU7DMAyG&#10;70i8Q2QkLmhLGrENuqbThMSBI9skrlnrtYXGqZp0LXt6jDiMo+1Pv78/20yuFWfsQ+PJQDJXIJAK&#10;XzZUGTjsX2dPIEK0VNrWExr4xgCb/PYms2npR3rH8y5WgkMopNZAHWOXShmKGp0Nc98h8e3ke2cj&#10;j30ly96OHO5aqZVaSmcb4g+17fClxuJrNzgDGIZForbPrjq8XcaHD335HLu9Mfd303YNIuIUrzD8&#10;6rM65Ox09AOVQbQGZolerpg1sNLcgQmtHhcgjn8LmWfyf4X8BwAA//8DAFBLAQItABQABgAIAAAA&#10;IQC2gziS/gAAAOEBAAATAAAAAAAAAAAAAAAAAAAAAABbQ29udGVudF9UeXBlc10ueG1sUEsBAi0A&#10;FAAGAAgAAAAhADj9If/WAAAAlAEAAAsAAAAAAAAAAAAAAAAALwEAAF9yZWxzLy5yZWxzUEsBAi0A&#10;FAAGAAgAAAAhAN88zpoeAgAAOwQAAA4AAAAAAAAAAAAAAAAALgIAAGRycy9lMm9Eb2MueG1sUEsB&#10;Ai0AFAAGAAgAAAAhALhZxd3eAAAACgEAAA8AAAAAAAAAAAAAAAAAeAQAAGRycy9kb3ducmV2Lnht&#10;bFBLBQYAAAAABAAEAPMAAACDBQAAAAA=&#10;"/>
            </w:pict>
          </mc:Fallback>
        </mc:AlternateContent>
      </w:r>
      <w:r w:rsidR="00FC4D0B">
        <w:rPr>
          <w:noProof/>
          <w:lang w:eastAsia="en-AU"/>
        </w:rPr>
        <w:t xml:space="preserve">Recruitment and </w:t>
      </w:r>
      <w:r w:rsidR="00681EBF">
        <w:rPr>
          <w:noProof/>
          <w:lang w:eastAsia="en-AU"/>
        </w:rPr>
        <w:t>s</w:t>
      </w:r>
      <w:r w:rsidR="00FC4D0B">
        <w:rPr>
          <w:noProof/>
          <w:lang w:eastAsia="en-AU"/>
        </w:rPr>
        <w:t xml:space="preserve">election </w:t>
      </w:r>
      <w:r w:rsidR="001845EB">
        <w:rPr>
          <w:noProof/>
          <w:lang w:eastAsia="en-AU"/>
        </w:rPr>
        <w:t>p</w:t>
      </w:r>
      <w:r w:rsidR="00FC4D0B">
        <w:rPr>
          <w:noProof/>
          <w:lang w:eastAsia="en-AU"/>
        </w:rPr>
        <w:t>olicy</w:t>
      </w:r>
      <w:r w:rsidR="00814469">
        <w:rPr>
          <w:noProof/>
          <w:lang w:eastAsia="en-AU"/>
        </w:rPr>
        <w:t xml:space="preserve"> PC004</w:t>
      </w:r>
    </w:p>
    <w:bookmarkEnd w:id="0"/>
    <w:p w14:paraId="3B62E9E3" w14:textId="77777777" w:rsidR="00401CFC" w:rsidRDefault="00401CFC" w:rsidP="00933803">
      <w:pPr>
        <w:pStyle w:val="AHPRADocumentsubheading"/>
        <w:spacing w:before="600"/>
      </w:pPr>
      <w:r>
        <w:t>P</w:t>
      </w:r>
      <w:r w:rsidR="00805128">
        <w:t>urpose</w:t>
      </w:r>
      <w:r w:rsidR="00787B73">
        <w:t xml:space="preserve"> and scope</w:t>
      </w:r>
    </w:p>
    <w:p w14:paraId="2C19AF27" w14:textId="04779442" w:rsidR="009E3BBF" w:rsidRDefault="00424311" w:rsidP="00933803">
      <w:pPr>
        <w:pStyle w:val="AHPRAbody"/>
      </w:pPr>
      <w:r>
        <w:rPr>
          <w:rFonts w:eastAsia="Times New Roman"/>
          <w:szCs w:val="20"/>
          <w:lang w:val="en" w:eastAsia="en-AU"/>
        </w:rPr>
        <w:t>Ahpra</w:t>
      </w:r>
      <w:r w:rsidR="00FC4D0B">
        <w:t xml:space="preserve"> </w:t>
      </w:r>
      <w:r w:rsidR="009E3BBF">
        <w:t xml:space="preserve">recognises that its employees are our strength. </w:t>
      </w:r>
      <w:r w:rsidR="009E3BBF" w:rsidRPr="009E3BBF">
        <w:t xml:space="preserve">To ensure that the right people are attracted and recruited to meet </w:t>
      </w:r>
      <w:r w:rsidR="009E3BBF">
        <w:t>our</w:t>
      </w:r>
      <w:r w:rsidR="009E3BBF" w:rsidRPr="009E3BBF">
        <w:t xml:space="preserve"> objectives and business needs</w:t>
      </w:r>
      <w:r w:rsidR="009E3BBF">
        <w:t>, all</w:t>
      </w:r>
      <w:r w:rsidR="009E3BBF" w:rsidRPr="009E3BBF">
        <w:t xml:space="preserve"> vacant positions are filled in accordance with th</w:t>
      </w:r>
      <w:r w:rsidR="009E3BBF">
        <w:t xml:space="preserve">e principles of merit selection. We apply </w:t>
      </w:r>
      <w:r w:rsidR="009E3BBF" w:rsidRPr="009E3BBF">
        <w:t xml:space="preserve">ethical and transparent recruitment and selection processes </w:t>
      </w:r>
      <w:r w:rsidR="009E3BBF">
        <w:t>to ensure that a</w:t>
      </w:r>
      <w:r w:rsidR="009E3BBF" w:rsidRPr="009E3BBF">
        <w:t xml:space="preserve"> diverse range of quality applicants apply for vacancies and the best of those applicants are </w:t>
      </w:r>
      <w:r w:rsidR="009E3BBF">
        <w:t xml:space="preserve">sourced internally, promoted or </w:t>
      </w:r>
      <w:r w:rsidR="009E3BBF" w:rsidRPr="009E3BBF">
        <w:t>employed</w:t>
      </w:r>
      <w:r w:rsidR="009E3BBF">
        <w:t xml:space="preserve"> externally</w:t>
      </w:r>
      <w:r w:rsidR="009E3BBF" w:rsidRPr="009E3BBF">
        <w:t>.</w:t>
      </w:r>
    </w:p>
    <w:p w14:paraId="2684D47C" w14:textId="49A0761C" w:rsidR="009E3BBF" w:rsidRDefault="009E3BBF" w:rsidP="00933803">
      <w:pPr>
        <w:pStyle w:val="AHPRAbody"/>
      </w:pPr>
      <w:r w:rsidRPr="009E3BBF">
        <w:t xml:space="preserve">This </w:t>
      </w:r>
      <w:r w:rsidR="00681EBF">
        <w:t>p</w:t>
      </w:r>
      <w:r w:rsidRPr="009E3BBF">
        <w:t xml:space="preserve">olicy provides a decision framework for </w:t>
      </w:r>
      <w:r w:rsidR="000D07E1">
        <w:t>managers to successfully attract</w:t>
      </w:r>
      <w:r w:rsidRPr="009E3BBF">
        <w:t xml:space="preserve">, select and appoint the best applicant for a position. The recruitment, selection and appointment process must be fair, consistent, objective and transparent and enshrine the principles of Equal Employment Opportunity (EEO).  </w:t>
      </w:r>
    </w:p>
    <w:p w14:paraId="2BE985A8" w14:textId="189EE4C9" w:rsidR="009E3BBF" w:rsidRDefault="009E3BBF" w:rsidP="00933803">
      <w:pPr>
        <w:pStyle w:val="AHPRAbody"/>
      </w:pPr>
      <w:r w:rsidRPr="009E3BBF">
        <w:t>EEO should be integrated into all stages of the recruitment and selection process to ensure that equal employment outcomes are achieved for women, Aboriginal people and Torres Strait Islander</w:t>
      </w:r>
      <w:r w:rsidR="000D07E1">
        <w:t xml:space="preserve"> peoples</w:t>
      </w:r>
      <w:r w:rsidRPr="009E3BBF">
        <w:t>, people from racial, ethnic or ethno-religious minority groups, and people with a disability.</w:t>
      </w:r>
    </w:p>
    <w:p w14:paraId="409A4D7A" w14:textId="3263F28C" w:rsidR="003D3E85" w:rsidRDefault="003D3E85" w:rsidP="00933803">
      <w:pPr>
        <w:pStyle w:val="AHPRADocumentsubheading"/>
        <w:spacing w:before="360"/>
      </w:pPr>
      <w:r>
        <w:t xml:space="preserve">Coverage </w:t>
      </w:r>
    </w:p>
    <w:p w14:paraId="4D0A720F" w14:textId="0BE37E81" w:rsidR="003D3E85" w:rsidRPr="009239CF" w:rsidRDefault="009239CF" w:rsidP="00933803">
      <w:pPr>
        <w:pStyle w:val="AHPRAbody"/>
      </w:pPr>
      <w:r>
        <w:t xml:space="preserve">This </w:t>
      </w:r>
      <w:r w:rsidR="00681EBF">
        <w:t>p</w:t>
      </w:r>
      <w:r>
        <w:t>olicy addresses recruitment, selection and appointment to</w:t>
      </w:r>
      <w:r w:rsidR="000D07E1">
        <w:t xml:space="preserve"> </w:t>
      </w:r>
      <w:r w:rsidR="003E0484">
        <w:t>all permanent, fixed term, temporary and casual positions</w:t>
      </w:r>
      <w:r>
        <w:t xml:space="preserve">. </w:t>
      </w:r>
      <w:r w:rsidR="003E0484">
        <w:t xml:space="preserve">The policy applies, in part, to the engagement of contractors and agency staff. </w:t>
      </w:r>
      <w:r>
        <w:t xml:space="preserve"> </w:t>
      </w:r>
    </w:p>
    <w:p w14:paraId="6D092148" w14:textId="77777777" w:rsidR="00C33B30" w:rsidRDefault="007301CB" w:rsidP="00933803">
      <w:pPr>
        <w:pStyle w:val="AHPRADocumentsubheading"/>
        <w:spacing w:before="360"/>
      </w:pPr>
      <w:r>
        <w:t xml:space="preserve">Policy </w:t>
      </w:r>
    </w:p>
    <w:p w14:paraId="4EAB2517" w14:textId="398190EF" w:rsidR="00513F24" w:rsidRPr="00A933F7" w:rsidRDefault="00513F24" w:rsidP="00933803">
      <w:pPr>
        <w:pStyle w:val="AHPRANumberedsubheadinglevel1"/>
        <w:numPr>
          <w:ilvl w:val="0"/>
          <w:numId w:val="0"/>
        </w:numPr>
        <w:rPr>
          <w:b w:val="0"/>
          <w:bCs/>
          <w:sz w:val="24"/>
        </w:rPr>
      </w:pPr>
      <w:r w:rsidRPr="00A933F7">
        <w:rPr>
          <w:b w:val="0"/>
          <w:bCs/>
          <w:sz w:val="24"/>
        </w:rPr>
        <w:t>Management responsibilities</w:t>
      </w:r>
    </w:p>
    <w:p w14:paraId="68348C7D" w14:textId="01236588" w:rsidR="00513F24" w:rsidRDefault="00513F24" w:rsidP="00933803">
      <w:pPr>
        <w:pStyle w:val="AHPRAbody"/>
      </w:pPr>
      <w:r w:rsidRPr="00513F24">
        <w:t xml:space="preserve">When an opportunity to fill a position on a </w:t>
      </w:r>
      <w:r>
        <w:t xml:space="preserve">permanent or </w:t>
      </w:r>
      <w:r w:rsidRPr="00513F24">
        <w:t xml:space="preserve">temporary basis arises, managers should consider the duration and nature of the position and whether it lends itself to be filled permanently by </w:t>
      </w:r>
      <w:r>
        <w:t xml:space="preserve">internal </w:t>
      </w:r>
      <w:r w:rsidRPr="00513F24">
        <w:t xml:space="preserve">transfer or recruitment, </w:t>
      </w:r>
      <w:r w:rsidR="00A37F39">
        <w:t>temporarily or via an agency.</w:t>
      </w:r>
    </w:p>
    <w:p w14:paraId="559C8119" w14:textId="4912BBE6" w:rsidR="00513F24" w:rsidRDefault="00513F24" w:rsidP="00933803">
      <w:pPr>
        <w:pStyle w:val="AHPRAbody"/>
      </w:pPr>
      <w:r w:rsidRPr="00513F24">
        <w:t>At times, it may be necessary to fill a position by a means other than recruitment, including r</w:t>
      </w:r>
      <w:r>
        <w:t xml:space="preserve">edeployment </w:t>
      </w:r>
      <w:r w:rsidRPr="00513F24">
        <w:t xml:space="preserve">or appointment following a </w:t>
      </w:r>
      <w:r w:rsidR="00681EBF" w:rsidRPr="00513F24">
        <w:t>long-term</w:t>
      </w:r>
      <w:r w:rsidRPr="00513F24">
        <w:t xml:space="preserve"> temporary arrangement. In con</w:t>
      </w:r>
      <w:r w:rsidR="000D07E1">
        <w:t>sultation</w:t>
      </w:r>
      <w:r w:rsidRPr="00513F24">
        <w:t xml:space="preserve"> with </w:t>
      </w:r>
      <w:r>
        <w:t>People and Culture</w:t>
      </w:r>
      <w:r w:rsidRPr="00513F24">
        <w:t>, managers are responsible for determining the most appropriate method of filling a position, in line with the relevant policy or procedure.</w:t>
      </w:r>
    </w:p>
    <w:p w14:paraId="63D4A2AE" w14:textId="4AF5597B" w:rsidR="00513F24" w:rsidRDefault="00513F24" w:rsidP="00933803">
      <w:pPr>
        <w:pStyle w:val="AHPRAbody"/>
      </w:pPr>
      <w:r w:rsidRPr="00513F24">
        <w:t xml:space="preserve">Managers are accountable for ensuring that the decision to recruit is based on </w:t>
      </w:r>
      <w:r>
        <w:t xml:space="preserve">our </w:t>
      </w:r>
      <w:r w:rsidRPr="00513F24">
        <w:t>medium and long-term objectives and for ensuring the best possible recruitment outcome.  In every decision to recruit, managers are responsible for determining:</w:t>
      </w:r>
    </w:p>
    <w:p w14:paraId="29824FF9" w14:textId="6EBF3F0B" w:rsidR="00513F24" w:rsidRDefault="00513F24" w:rsidP="00933803">
      <w:pPr>
        <w:pStyle w:val="AHPRAbody"/>
        <w:numPr>
          <w:ilvl w:val="0"/>
          <w:numId w:val="13"/>
        </w:numPr>
        <w:spacing w:before="120" w:after="120"/>
        <w:ind w:left="720" w:hanging="360"/>
      </w:pPr>
      <w:r>
        <w:t>the continued need for the position in its current form</w:t>
      </w:r>
    </w:p>
    <w:p w14:paraId="3402C722" w14:textId="39E276B1" w:rsidR="00933803" w:rsidRDefault="00933803" w:rsidP="00933803">
      <w:pPr>
        <w:pStyle w:val="AHPRAbody"/>
        <w:numPr>
          <w:ilvl w:val="0"/>
          <w:numId w:val="13"/>
        </w:numPr>
        <w:spacing w:before="120" w:after="120"/>
        <w:ind w:left="720" w:hanging="360"/>
      </w:pPr>
      <w:r>
        <w:t>opportunities for existing employees to act or gain experience in the position</w:t>
      </w:r>
    </w:p>
    <w:p w14:paraId="0742CFAA" w14:textId="3FF03B25" w:rsidR="00513F24" w:rsidRDefault="00513F24" w:rsidP="00933803">
      <w:pPr>
        <w:pStyle w:val="AHPRAbody"/>
        <w:numPr>
          <w:ilvl w:val="0"/>
          <w:numId w:val="13"/>
        </w:numPr>
        <w:spacing w:before="120" w:after="120"/>
        <w:ind w:left="720" w:hanging="360"/>
      </w:pPr>
      <w:r>
        <w:t>the review of the accountabilities and capabilities of the role description to best reflect the outcomes to be achieved by the role</w:t>
      </w:r>
    </w:p>
    <w:p w14:paraId="292555D2" w14:textId="3D315F83" w:rsidR="00513F24" w:rsidRDefault="00513F24" w:rsidP="00933803">
      <w:pPr>
        <w:pStyle w:val="AHPRAbody"/>
        <w:numPr>
          <w:ilvl w:val="0"/>
          <w:numId w:val="13"/>
        </w:numPr>
        <w:spacing w:before="120" w:after="120"/>
        <w:ind w:left="720" w:hanging="360"/>
      </w:pPr>
      <w:r>
        <w:t>the best recruitment strategy in consultation with the recruitment team to ensure optimum attraction of the right applicants</w:t>
      </w:r>
    </w:p>
    <w:p w14:paraId="4DAFCB00" w14:textId="05CBE08C" w:rsidR="00513F24" w:rsidRDefault="00513F24" w:rsidP="00933803">
      <w:pPr>
        <w:pStyle w:val="AHPRAbody"/>
        <w:numPr>
          <w:ilvl w:val="0"/>
          <w:numId w:val="13"/>
        </w:numPr>
        <w:spacing w:before="120" w:after="120"/>
        <w:ind w:left="720" w:hanging="360"/>
      </w:pPr>
      <w:r>
        <w:t xml:space="preserve">the composition of a selection panel that </w:t>
      </w:r>
      <w:r w:rsidR="000D07E1">
        <w:t>will</w:t>
      </w:r>
      <w:r>
        <w:t xml:space="preserve"> include a member of the People and Culture team </w:t>
      </w:r>
      <w:r w:rsidR="00A37F39">
        <w:t>where the position is classified at level 6 and above</w:t>
      </w:r>
    </w:p>
    <w:p w14:paraId="0B8B00F8" w14:textId="2D177ACC" w:rsidR="00513F24" w:rsidRDefault="00513F24" w:rsidP="00933803">
      <w:pPr>
        <w:pStyle w:val="AHPRAbody"/>
        <w:numPr>
          <w:ilvl w:val="0"/>
          <w:numId w:val="13"/>
        </w:numPr>
        <w:spacing w:before="120" w:after="120"/>
        <w:ind w:left="720" w:hanging="360"/>
      </w:pPr>
      <w:r>
        <w:t xml:space="preserve">the </w:t>
      </w:r>
      <w:r w:rsidR="00AD33A9">
        <w:t xml:space="preserve">need to review </w:t>
      </w:r>
      <w:r w:rsidR="006D42A3">
        <w:t xml:space="preserve">redeployees and </w:t>
      </w:r>
      <w:r w:rsidR="00AD33A9">
        <w:t>internal applications</w:t>
      </w:r>
      <w:r w:rsidR="00C21EDE">
        <w:t xml:space="preserve"> prior to reviewing any external applications</w:t>
      </w:r>
    </w:p>
    <w:p w14:paraId="268A908A" w14:textId="43A84304" w:rsidR="00AD33A9" w:rsidRDefault="00AD33A9" w:rsidP="00933803">
      <w:pPr>
        <w:pStyle w:val="AHPRAbody"/>
        <w:numPr>
          <w:ilvl w:val="0"/>
          <w:numId w:val="13"/>
        </w:numPr>
        <w:spacing w:before="120" w:after="120"/>
        <w:ind w:left="720" w:hanging="360"/>
      </w:pPr>
      <w:r>
        <w:lastRenderedPageBreak/>
        <w:t xml:space="preserve">the need to engage with the State or Territory Manager to advise on the recruitment </w:t>
      </w:r>
      <w:r w:rsidR="000D07E1">
        <w:t>process</w:t>
      </w:r>
      <w:r>
        <w:t xml:space="preserve"> prior to making a hiring decision in a local office, and</w:t>
      </w:r>
    </w:p>
    <w:p w14:paraId="41769056" w14:textId="085FED22" w:rsidR="00513F24" w:rsidRDefault="00513F24" w:rsidP="00933803">
      <w:pPr>
        <w:pStyle w:val="AHPRAbody"/>
        <w:numPr>
          <w:ilvl w:val="0"/>
          <w:numId w:val="13"/>
        </w:numPr>
        <w:spacing w:before="120" w:after="120"/>
        <w:ind w:left="720" w:hanging="360"/>
      </w:pPr>
      <w:r>
        <w:t>the timely conduct of recruitment, selection and appointment actions.</w:t>
      </w:r>
    </w:p>
    <w:p w14:paraId="6318D6E4" w14:textId="2A1958E3" w:rsidR="00AD33A9" w:rsidRPr="00513F24" w:rsidRDefault="00AD33A9" w:rsidP="00933803">
      <w:pPr>
        <w:pStyle w:val="AHPRAbody"/>
        <w:spacing w:before="120" w:after="120"/>
      </w:pPr>
      <w:r w:rsidRPr="00AD33A9">
        <w:t xml:space="preserve">Managers are required to recruit and select </w:t>
      </w:r>
      <w:r>
        <w:t>employees</w:t>
      </w:r>
      <w:r w:rsidRPr="00AD33A9">
        <w:t xml:space="preserve"> based on the principles of merit.  These are designed to ensure the best people, with the most appropriate skills and abilities are selected for positions, and that the process of</w:t>
      </w:r>
      <w:r w:rsidR="000D07E1">
        <w:t xml:space="preserve"> selection is fair, transparent and</w:t>
      </w:r>
      <w:r w:rsidRPr="00AD33A9">
        <w:t xml:space="preserve"> ethical.</w:t>
      </w:r>
    </w:p>
    <w:p w14:paraId="5C63BC24" w14:textId="5594F5EB" w:rsidR="00513F24" w:rsidRPr="00A933F7" w:rsidRDefault="00FC4D0B" w:rsidP="00933803">
      <w:pPr>
        <w:pStyle w:val="AHPRANumberedsubheadinglevel1"/>
        <w:numPr>
          <w:ilvl w:val="0"/>
          <w:numId w:val="0"/>
        </w:numPr>
        <w:rPr>
          <w:b w:val="0"/>
          <w:color w:val="auto"/>
          <w:sz w:val="24"/>
        </w:rPr>
      </w:pPr>
      <w:r w:rsidRPr="00A933F7">
        <w:rPr>
          <w:b w:val="0"/>
          <w:bCs/>
          <w:sz w:val="24"/>
        </w:rPr>
        <w:t>Merit</w:t>
      </w:r>
      <w:r w:rsidRPr="00A933F7">
        <w:rPr>
          <w:b w:val="0"/>
          <w:sz w:val="24"/>
        </w:rPr>
        <w:t xml:space="preserve"> </w:t>
      </w:r>
      <w:r w:rsidR="00BE1CF0" w:rsidRPr="00A933F7">
        <w:rPr>
          <w:b w:val="0"/>
          <w:sz w:val="24"/>
        </w:rPr>
        <w:t>Selection</w:t>
      </w:r>
      <w:r w:rsidR="00BE1CF0" w:rsidRPr="00A933F7">
        <w:rPr>
          <w:b w:val="0"/>
          <w:color w:val="auto"/>
          <w:sz w:val="24"/>
        </w:rPr>
        <w:t xml:space="preserve"> </w:t>
      </w:r>
    </w:p>
    <w:p w14:paraId="2E871D59" w14:textId="0853B99B" w:rsidR="00AD33A9" w:rsidRPr="00AD33A9" w:rsidRDefault="00513F24" w:rsidP="00933803">
      <w:pPr>
        <w:pStyle w:val="AHPRANumberedsubheadinglevel1"/>
        <w:numPr>
          <w:ilvl w:val="0"/>
          <w:numId w:val="0"/>
        </w:numPr>
        <w:spacing w:before="120" w:after="120"/>
        <w:rPr>
          <w:b w:val="0"/>
          <w:color w:val="auto"/>
        </w:rPr>
      </w:pPr>
      <w:r>
        <w:rPr>
          <w:b w:val="0"/>
          <w:color w:val="auto"/>
        </w:rPr>
        <w:t xml:space="preserve">The principle of merit selection </w:t>
      </w:r>
      <w:r w:rsidR="00FC4D0B" w:rsidRPr="00BE1CF0">
        <w:rPr>
          <w:b w:val="0"/>
          <w:color w:val="auto"/>
        </w:rPr>
        <w:t xml:space="preserve">ensures </w:t>
      </w:r>
      <w:r w:rsidR="00BE1CF0">
        <w:rPr>
          <w:b w:val="0"/>
          <w:color w:val="auto"/>
        </w:rPr>
        <w:t xml:space="preserve">that </w:t>
      </w:r>
      <w:r w:rsidR="00FC4D0B" w:rsidRPr="00BE1CF0">
        <w:rPr>
          <w:b w:val="0"/>
          <w:color w:val="auto"/>
        </w:rPr>
        <w:t xml:space="preserve">the most suitable person is </w:t>
      </w:r>
      <w:r w:rsidR="000D07E1">
        <w:rPr>
          <w:b w:val="0"/>
          <w:color w:val="auto"/>
        </w:rPr>
        <w:t>employed</w:t>
      </w:r>
      <w:r w:rsidR="00FC4D0B" w:rsidRPr="00BE1CF0">
        <w:rPr>
          <w:b w:val="0"/>
          <w:color w:val="auto"/>
        </w:rPr>
        <w:t xml:space="preserve"> for the positi</w:t>
      </w:r>
      <w:r w:rsidR="009E3BBF" w:rsidRPr="00BE1CF0">
        <w:rPr>
          <w:b w:val="0"/>
          <w:color w:val="auto"/>
        </w:rPr>
        <w:t xml:space="preserve">on and that the process is fair </w:t>
      </w:r>
      <w:r w:rsidR="00FC4D0B" w:rsidRPr="00BE1CF0">
        <w:rPr>
          <w:b w:val="0"/>
          <w:color w:val="auto"/>
        </w:rPr>
        <w:t>and transparent.</w:t>
      </w:r>
      <w:r w:rsidR="00BE1CF0">
        <w:rPr>
          <w:b w:val="0"/>
          <w:color w:val="auto"/>
        </w:rPr>
        <w:t xml:space="preserve"> </w:t>
      </w:r>
      <w:r w:rsidR="00AD33A9" w:rsidRPr="00AD33A9">
        <w:rPr>
          <w:b w:val="0"/>
          <w:color w:val="auto"/>
        </w:rPr>
        <w:t xml:space="preserve">In accordance with </w:t>
      </w:r>
      <w:r w:rsidR="00AD33A9">
        <w:rPr>
          <w:b w:val="0"/>
          <w:color w:val="auto"/>
        </w:rPr>
        <w:t>merit</w:t>
      </w:r>
      <w:r w:rsidR="00AD33A9" w:rsidRPr="00AD33A9">
        <w:rPr>
          <w:b w:val="0"/>
          <w:color w:val="auto"/>
        </w:rPr>
        <w:t xml:space="preserve"> principles, merit includes the abilities, qualifications, experience, standard of work performance and capabilities of applicants considered in relation to the work to be done. </w:t>
      </w:r>
    </w:p>
    <w:p w14:paraId="4B563D90" w14:textId="1365011E" w:rsidR="00FC4D0B" w:rsidRPr="00BE1CF0" w:rsidRDefault="00AD33A9" w:rsidP="00933803">
      <w:pPr>
        <w:pStyle w:val="AHPRANumberedsubheadinglevel1"/>
        <w:numPr>
          <w:ilvl w:val="0"/>
          <w:numId w:val="0"/>
        </w:numPr>
        <w:rPr>
          <w:b w:val="0"/>
          <w:color w:val="auto"/>
        </w:rPr>
      </w:pPr>
      <w:r>
        <w:rPr>
          <w:b w:val="0"/>
          <w:color w:val="auto"/>
        </w:rPr>
        <w:t xml:space="preserve">At </w:t>
      </w:r>
      <w:r w:rsidR="00424311">
        <w:rPr>
          <w:b w:val="0"/>
          <w:color w:val="auto"/>
        </w:rPr>
        <w:t>Ahpra</w:t>
      </w:r>
      <w:r>
        <w:rPr>
          <w:b w:val="0"/>
          <w:color w:val="auto"/>
        </w:rPr>
        <w:t xml:space="preserve"> we are</w:t>
      </w:r>
      <w:r w:rsidRPr="00AD33A9">
        <w:rPr>
          <w:b w:val="0"/>
          <w:color w:val="auto"/>
        </w:rPr>
        <w:t xml:space="preserve"> committed to ethical, fair and </w:t>
      </w:r>
      <w:r>
        <w:rPr>
          <w:b w:val="0"/>
          <w:color w:val="auto"/>
        </w:rPr>
        <w:t>effective recruitment practices. We ensure that;</w:t>
      </w:r>
    </w:p>
    <w:p w14:paraId="46849A60" w14:textId="0F2D009F" w:rsidR="00776D09" w:rsidRPr="004E3E30" w:rsidRDefault="00681EBF" w:rsidP="00933803">
      <w:pPr>
        <w:pStyle w:val="AHPRANumberedsubheadinglevel2"/>
        <w:numPr>
          <w:ilvl w:val="0"/>
          <w:numId w:val="12"/>
        </w:numPr>
        <w:spacing w:before="120" w:after="120"/>
        <w:ind w:left="720" w:hanging="360"/>
        <w:rPr>
          <w:b w:val="0"/>
        </w:rPr>
      </w:pPr>
      <w:r>
        <w:rPr>
          <w:b w:val="0"/>
        </w:rPr>
        <w:t>r</w:t>
      </w:r>
      <w:r w:rsidR="003B587E" w:rsidRPr="004E3E30">
        <w:rPr>
          <w:b w:val="0"/>
        </w:rPr>
        <w:t xml:space="preserve">ecruitment decisions </w:t>
      </w:r>
      <w:r w:rsidR="00BE1CF0">
        <w:rPr>
          <w:b w:val="0"/>
        </w:rPr>
        <w:t>are</w:t>
      </w:r>
      <w:r w:rsidR="003B587E" w:rsidRPr="004E3E30">
        <w:rPr>
          <w:b w:val="0"/>
        </w:rPr>
        <w:t xml:space="preserve"> based on assessment of applicants against pre-determined selection criteria</w:t>
      </w:r>
    </w:p>
    <w:p w14:paraId="68231F47" w14:textId="052C7B72" w:rsidR="00776D09" w:rsidRPr="004E3E30" w:rsidRDefault="00681EBF" w:rsidP="00933803">
      <w:pPr>
        <w:pStyle w:val="AHPRANumberedsubheadinglevel2"/>
        <w:numPr>
          <w:ilvl w:val="0"/>
          <w:numId w:val="12"/>
        </w:numPr>
        <w:spacing w:before="120" w:after="120"/>
        <w:ind w:left="720" w:hanging="360"/>
        <w:rPr>
          <w:b w:val="0"/>
        </w:rPr>
      </w:pPr>
      <w:r>
        <w:rPr>
          <w:b w:val="0"/>
        </w:rPr>
        <w:t>a</w:t>
      </w:r>
      <w:r w:rsidR="003B587E" w:rsidRPr="004E3E30">
        <w:rPr>
          <w:b w:val="0"/>
        </w:rPr>
        <w:t xml:space="preserve">ssessments </w:t>
      </w:r>
      <w:r w:rsidR="00AD33A9">
        <w:rPr>
          <w:b w:val="0"/>
        </w:rPr>
        <w:t>are</w:t>
      </w:r>
      <w:r w:rsidR="003B587E" w:rsidRPr="004E3E30">
        <w:rPr>
          <w:b w:val="0"/>
        </w:rPr>
        <w:t xml:space="preserve"> objective and take consideration of all the available </w:t>
      </w:r>
      <w:r w:rsidR="000D07E1">
        <w:rPr>
          <w:b w:val="0"/>
        </w:rPr>
        <w:t>material</w:t>
      </w:r>
    </w:p>
    <w:p w14:paraId="5CCEEEF4" w14:textId="77777777" w:rsidR="003E0484" w:rsidRDefault="003E0484" w:rsidP="003E0484">
      <w:pPr>
        <w:pStyle w:val="AHPRANumberedsubheadinglevel2"/>
        <w:numPr>
          <w:ilvl w:val="0"/>
          <w:numId w:val="12"/>
        </w:numPr>
        <w:spacing w:before="120" w:after="120"/>
        <w:ind w:left="720" w:hanging="360"/>
        <w:rPr>
          <w:b w:val="0"/>
        </w:rPr>
      </w:pPr>
      <w:r>
        <w:rPr>
          <w:b w:val="0"/>
        </w:rPr>
        <w:t>any</w:t>
      </w:r>
      <w:r w:rsidRPr="004E3E30">
        <w:rPr>
          <w:b w:val="0"/>
        </w:rPr>
        <w:t xml:space="preserve"> conflict of interest by any member of a recruitment</w:t>
      </w:r>
      <w:r>
        <w:rPr>
          <w:b w:val="0"/>
        </w:rPr>
        <w:t xml:space="preserve"> and</w:t>
      </w:r>
      <w:r w:rsidRPr="004E3E30">
        <w:rPr>
          <w:b w:val="0"/>
        </w:rPr>
        <w:t xml:space="preserve"> selection panel with the applicants considered</w:t>
      </w:r>
      <w:r>
        <w:rPr>
          <w:b w:val="0"/>
        </w:rPr>
        <w:t xml:space="preserve"> is disclosed</w:t>
      </w:r>
    </w:p>
    <w:p w14:paraId="6857B131" w14:textId="65925A41" w:rsidR="00822DD2" w:rsidRDefault="00681EBF" w:rsidP="00933803">
      <w:pPr>
        <w:pStyle w:val="AHPRAbody"/>
        <w:numPr>
          <w:ilvl w:val="0"/>
          <w:numId w:val="12"/>
        </w:numPr>
        <w:spacing w:before="120" w:after="120"/>
        <w:ind w:left="720" w:hanging="360"/>
      </w:pPr>
      <w:r>
        <w:t>a</w:t>
      </w:r>
      <w:r w:rsidR="00822DD2">
        <w:t>pplicants</w:t>
      </w:r>
      <w:r w:rsidR="00933803">
        <w:t xml:space="preserve"> are assessed for cultural fit, and </w:t>
      </w:r>
    </w:p>
    <w:p w14:paraId="08BDC227" w14:textId="77777777" w:rsidR="003E0484" w:rsidRPr="00822DD2" w:rsidRDefault="003E0484" w:rsidP="003E0484">
      <w:pPr>
        <w:pStyle w:val="AHPRAbody"/>
        <w:numPr>
          <w:ilvl w:val="0"/>
          <w:numId w:val="12"/>
        </w:numPr>
        <w:spacing w:before="120" w:after="120"/>
        <w:ind w:left="720" w:hanging="360"/>
      </w:pPr>
      <w:r>
        <w:t>applicants are assessed against the capability for the position as detailed in the capability framework.</w:t>
      </w:r>
    </w:p>
    <w:p w14:paraId="6DC946DE" w14:textId="449B1950" w:rsidR="00AD33A9" w:rsidRPr="00AD33A9" w:rsidRDefault="00AD33A9" w:rsidP="00933803">
      <w:pPr>
        <w:pStyle w:val="AHPRAbody"/>
      </w:pPr>
      <w:r w:rsidRPr="00AD33A9">
        <w:t xml:space="preserve">Selection </w:t>
      </w:r>
      <w:r w:rsidR="00681EBF">
        <w:t>p</w:t>
      </w:r>
      <w:r w:rsidRPr="00AD33A9">
        <w:t>anels should use a range of processes for selecting the most meritorious candidate consistent with budget constraints. Combining processes can increase the validity of the selection and over-reliance on an interview alone is discouraged. Some examples of alternative or complementary selection methods include samples of work, job related testing and assessment centres</w:t>
      </w:r>
      <w:r w:rsidR="000D07E1">
        <w:t xml:space="preserve"> for volume recruitment</w:t>
      </w:r>
      <w:r w:rsidRPr="00AD33A9">
        <w:t>.</w:t>
      </w:r>
    </w:p>
    <w:p w14:paraId="4FA50937" w14:textId="77777777" w:rsidR="00AD33A9" w:rsidRPr="00A933F7" w:rsidRDefault="00BE1CF0" w:rsidP="00933803">
      <w:pPr>
        <w:pStyle w:val="AHPRANumberedsubheadinglevel1"/>
        <w:numPr>
          <w:ilvl w:val="0"/>
          <w:numId w:val="0"/>
        </w:numPr>
        <w:rPr>
          <w:b w:val="0"/>
          <w:bCs/>
          <w:sz w:val="24"/>
        </w:rPr>
      </w:pPr>
      <w:r w:rsidRPr="00A933F7">
        <w:rPr>
          <w:b w:val="0"/>
          <w:bCs/>
          <w:sz w:val="24"/>
        </w:rPr>
        <w:t>Equity and Diversity</w:t>
      </w:r>
    </w:p>
    <w:p w14:paraId="75C7540C" w14:textId="5F562FE1" w:rsidR="00E757A5" w:rsidRDefault="00E757A5" w:rsidP="00933803">
      <w:pPr>
        <w:pStyle w:val="AHPRANumberedsubheadinglevel2"/>
        <w:numPr>
          <w:ilvl w:val="0"/>
          <w:numId w:val="0"/>
        </w:numPr>
        <w:rPr>
          <w:b w:val="0"/>
        </w:rPr>
      </w:pPr>
      <w:r w:rsidRPr="00E757A5">
        <w:rPr>
          <w:b w:val="0"/>
        </w:rPr>
        <w:t>Principles of equity and diversity are supported by the integration of</w:t>
      </w:r>
      <w:r w:rsidR="003E0484">
        <w:rPr>
          <w:b w:val="0"/>
        </w:rPr>
        <w:t xml:space="preserve"> Equal Employment Opportunity</w:t>
      </w:r>
      <w:r w:rsidRPr="00E757A5">
        <w:rPr>
          <w:b w:val="0"/>
        </w:rPr>
        <w:t xml:space="preserve"> </w:t>
      </w:r>
      <w:r w:rsidR="003E0484">
        <w:rPr>
          <w:b w:val="0"/>
        </w:rPr>
        <w:t>(</w:t>
      </w:r>
      <w:r w:rsidR="00424311">
        <w:rPr>
          <w:b w:val="0"/>
        </w:rPr>
        <w:t>EEO</w:t>
      </w:r>
      <w:r w:rsidR="003E0484">
        <w:rPr>
          <w:b w:val="0"/>
        </w:rPr>
        <w:t>)</w:t>
      </w:r>
      <w:r w:rsidRPr="00E757A5">
        <w:rPr>
          <w:b w:val="0"/>
        </w:rPr>
        <w:t xml:space="preserve"> into all stages of the recruitment and selection process. Managers must </w:t>
      </w:r>
      <w:proofErr w:type="gramStart"/>
      <w:r w:rsidR="003E0484">
        <w:rPr>
          <w:b w:val="0"/>
        </w:rPr>
        <w:t>take into account</w:t>
      </w:r>
      <w:proofErr w:type="gramEnd"/>
      <w:r w:rsidR="003E0484">
        <w:rPr>
          <w:b w:val="0"/>
        </w:rPr>
        <w:t xml:space="preserve"> EEO objectives when undertaking recruitment, </w:t>
      </w:r>
      <w:r w:rsidR="00424311">
        <w:rPr>
          <w:b w:val="0"/>
        </w:rPr>
        <w:t xml:space="preserve">in </w:t>
      </w:r>
      <w:r w:rsidR="003E0484">
        <w:rPr>
          <w:b w:val="0"/>
        </w:rPr>
        <w:t xml:space="preserve">relation to </w:t>
      </w:r>
      <w:r w:rsidR="00424311">
        <w:rPr>
          <w:b w:val="0"/>
        </w:rPr>
        <w:t>underrepresented</w:t>
      </w:r>
      <w:r>
        <w:rPr>
          <w:b w:val="0"/>
        </w:rPr>
        <w:t xml:space="preserve"> groups</w:t>
      </w:r>
      <w:r w:rsidR="003E0484">
        <w:rPr>
          <w:b w:val="0"/>
        </w:rPr>
        <w:t>:</w:t>
      </w:r>
    </w:p>
    <w:p w14:paraId="06427572" w14:textId="0D26F545" w:rsidR="00822DD2" w:rsidRDefault="00822DD2" w:rsidP="00933803">
      <w:pPr>
        <w:pStyle w:val="AHPRAbody"/>
        <w:numPr>
          <w:ilvl w:val="0"/>
          <w:numId w:val="12"/>
        </w:numPr>
        <w:spacing w:before="120" w:after="120"/>
        <w:ind w:left="720" w:hanging="360"/>
      </w:pPr>
      <w:r>
        <w:t>Women</w:t>
      </w:r>
    </w:p>
    <w:p w14:paraId="3EA0579A" w14:textId="2A9C1E6D" w:rsidR="00822DD2" w:rsidRDefault="00822DD2" w:rsidP="00933803">
      <w:pPr>
        <w:pStyle w:val="AHPRAbody"/>
        <w:numPr>
          <w:ilvl w:val="0"/>
          <w:numId w:val="12"/>
        </w:numPr>
        <w:spacing w:before="120" w:after="120"/>
        <w:ind w:left="720" w:hanging="360"/>
      </w:pPr>
      <w:r>
        <w:t>Aboriginal and Torres Strait Islander</w:t>
      </w:r>
      <w:r w:rsidR="000D07E1">
        <w:t xml:space="preserve"> peoples</w:t>
      </w:r>
    </w:p>
    <w:p w14:paraId="284D89D6" w14:textId="4247F690" w:rsidR="00822DD2" w:rsidRDefault="00822DD2" w:rsidP="00933803">
      <w:pPr>
        <w:pStyle w:val="AHPRAbody"/>
        <w:numPr>
          <w:ilvl w:val="0"/>
          <w:numId w:val="12"/>
        </w:numPr>
        <w:spacing w:before="120" w:after="120"/>
        <w:ind w:left="720" w:hanging="360"/>
      </w:pPr>
      <w:r>
        <w:t>People from racial, ethnic or ethno-religious minority groups, and</w:t>
      </w:r>
    </w:p>
    <w:p w14:paraId="4B70C571" w14:textId="48DBE946" w:rsidR="00E757A5" w:rsidRPr="00E757A5" w:rsidRDefault="00822DD2" w:rsidP="00933803">
      <w:pPr>
        <w:pStyle w:val="AHPRAbody"/>
        <w:numPr>
          <w:ilvl w:val="0"/>
          <w:numId w:val="12"/>
        </w:numPr>
        <w:spacing w:before="120" w:after="120"/>
        <w:ind w:left="720" w:hanging="360"/>
      </w:pPr>
      <w:r>
        <w:t>People with a disability which may or may not require workplace adjustment.</w:t>
      </w:r>
    </w:p>
    <w:p w14:paraId="728B69AB" w14:textId="1BBE1459" w:rsidR="00822DD2" w:rsidRDefault="00822DD2" w:rsidP="00933803">
      <w:pPr>
        <w:pStyle w:val="AHPRANumberedsubheadinglevel2"/>
        <w:numPr>
          <w:ilvl w:val="0"/>
          <w:numId w:val="0"/>
        </w:numPr>
        <w:rPr>
          <w:b w:val="0"/>
        </w:rPr>
      </w:pPr>
      <w:r w:rsidRPr="00822DD2">
        <w:rPr>
          <w:b w:val="0"/>
        </w:rPr>
        <w:t xml:space="preserve">The focus of </w:t>
      </w:r>
      <w:r>
        <w:rPr>
          <w:b w:val="0"/>
        </w:rPr>
        <w:t xml:space="preserve">any recruitment and selection process </w:t>
      </w:r>
      <w:r w:rsidRPr="00822DD2">
        <w:rPr>
          <w:b w:val="0"/>
        </w:rPr>
        <w:t>is on a</w:t>
      </w:r>
      <w:r>
        <w:rPr>
          <w:b w:val="0"/>
        </w:rPr>
        <w:t>n applicant’s</w:t>
      </w:r>
      <w:r w:rsidRPr="00822DD2">
        <w:rPr>
          <w:b w:val="0"/>
        </w:rPr>
        <w:t xml:space="preserve"> ability to perform a role effect</w:t>
      </w:r>
      <w:r>
        <w:rPr>
          <w:b w:val="0"/>
        </w:rPr>
        <w:t>ively</w:t>
      </w:r>
      <w:r w:rsidR="000D07E1">
        <w:rPr>
          <w:b w:val="0"/>
        </w:rPr>
        <w:t>.</w:t>
      </w:r>
      <w:r w:rsidRPr="00822DD2">
        <w:rPr>
          <w:b w:val="0"/>
        </w:rPr>
        <w:t xml:space="preserve"> </w:t>
      </w:r>
      <w:r w:rsidR="003E0484">
        <w:rPr>
          <w:b w:val="0"/>
        </w:rPr>
        <w:t>The</w:t>
      </w:r>
      <w:r w:rsidRPr="00822DD2">
        <w:rPr>
          <w:b w:val="0"/>
        </w:rPr>
        <w:t xml:space="preserve"> recruitment experience for all candidates, and members of EEO groups, </w:t>
      </w:r>
      <w:r w:rsidR="003E0484">
        <w:rPr>
          <w:b w:val="0"/>
        </w:rPr>
        <w:t>will not</w:t>
      </w:r>
      <w:r w:rsidRPr="00822DD2">
        <w:rPr>
          <w:b w:val="0"/>
        </w:rPr>
        <w:t xml:space="preserve"> lead to missed opportunities to access critical skills and experience because of unnecessary barriers</w:t>
      </w:r>
      <w:r w:rsidR="003E0484">
        <w:rPr>
          <w:b w:val="0"/>
        </w:rPr>
        <w:t>.</w:t>
      </w:r>
    </w:p>
    <w:p w14:paraId="03DA2DDB" w14:textId="0F227709" w:rsidR="00822DD2" w:rsidRDefault="00822DD2" w:rsidP="00933803">
      <w:pPr>
        <w:pStyle w:val="AHPRANumberedsubheadinglevel2"/>
        <w:numPr>
          <w:ilvl w:val="0"/>
          <w:numId w:val="0"/>
        </w:numPr>
        <w:rPr>
          <w:b w:val="0"/>
        </w:rPr>
      </w:pPr>
      <w:r>
        <w:rPr>
          <w:b w:val="0"/>
        </w:rPr>
        <w:t>When engaging in a recruitment and selection proce</w:t>
      </w:r>
      <w:r w:rsidR="00681EBF">
        <w:rPr>
          <w:b w:val="0"/>
        </w:rPr>
        <w:t>ss all:</w:t>
      </w:r>
    </w:p>
    <w:p w14:paraId="43D12015" w14:textId="34A2D893" w:rsidR="00776D09" w:rsidRPr="004E3E30" w:rsidRDefault="00681EBF" w:rsidP="00933803">
      <w:pPr>
        <w:pStyle w:val="AHPRANumberedsubheadinglevel2"/>
        <w:numPr>
          <w:ilvl w:val="0"/>
          <w:numId w:val="15"/>
        </w:numPr>
        <w:spacing w:before="120" w:after="120"/>
        <w:ind w:left="720" w:hanging="360"/>
        <w:rPr>
          <w:b w:val="0"/>
        </w:rPr>
      </w:pPr>
      <w:r>
        <w:rPr>
          <w:b w:val="0"/>
        </w:rPr>
        <w:t>a</w:t>
      </w:r>
      <w:r w:rsidR="003B587E" w:rsidRPr="004E3E30">
        <w:rPr>
          <w:b w:val="0"/>
        </w:rPr>
        <w:t>pplicants</w:t>
      </w:r>
      <w:r w:rsidR="00822DD2">
        <w:rPr>
          <w:b w:val="0"/>
        </w:rPr>
        <w:t xml:space="preserve"> will </w:t>
      </w:r>
      <w:r w:rsidR="003B587E" w:rsidRPr="004E3E30">
        <w:rPr>
          <w:b w:val="0"/>
        </w:rPr>
        <w:t>feel respected and that their diverse experiences and perspectives are valued</w:t>
      </w:r>
      <w:r w:rsidR="00822DD2">
        <w:rPr>
          <w:b w:val="0"/>
        </w:rPr>
        <w:t>, and</w:t>
      </w:r>
    </w:p>
    <w:p w14:paraId="48C89367" w14:textId="212FE4FC" w:rsidR="00776D09" w:rsidRPr="004E3E30" w:rsidRDefault="00681EBF" w:rsidP="00933803">
      <w:pPr>
        <w:pStyle w:val="AHPRANumberedsubheadinglevel2"/>
        <w:numPr>
          <w:ilvl w:val="0"/>
          <w:numId w:val="15"/>
        </w:numPr>
        <w:spacing w:before="120" w:after="120"/>
        <w:ind w:left="720" w:hanging="360"/>
        <w:rPr>
          <w:b w:val="0"/>
        </w:rPr>
      </w:pPr>
      <w:r>
        <w:rPr>
          <w:b w:val="0"/>
        </w:rPr>
        <w:t>a</w:t>
      </w:r>
      <w:r w:rsidR="003B587E" w:rsidRPr="004E3E30">
        <w:rPr>
          <w:b w:val="0"/>
        </w:rPr>
        <w:t>pplicants are provided with information and assistance to ensure their diversity is reasonably accommodated during the recruitment process</w:t>
      </w:r>
      <w:r w:rsidR="00822DD2">
        <w:rPr>
          <w:b w:val="0"/>
        </w:rPr>
        <w:t>.</w:t>
      </w:r>
    </w:p>
    <w:p w14:paraId="55505E98" w14:textId="582D03C9" w:rsidR="00822DD2" w:rsidRDefault="00822DD2" w:rsidP="00933803">
      <w:pPr>
        <w:pStyle w:val="AHPRAbody"/>
      </w:pPr>
      <w:r w:rsidRPr="00822DD2">
        <w:t>These actions will lead to a workplace culture that embraces and supports workplace diversity and d</w:t>
      </w:r>
      <w:r w:rsidR="000D07E1">
        <w:t>emonstrates</w:t>
      </w:r>
      <w:r w:rsidRPr="00822DD2">
        <w:t xml:space="preserve"> fair workplace practices and behaviours, where management decisions are made </w:t>
      </w:r>
      <w:r w:rsidR="000D07E1">
        <w:t xml:space="preserve">impartially </w:t>
      </w:r>
      <w:r w:rsidRPr="00822DD2">
        <w:t>and there is recognition and respect for the social and cultural backgrounds of applicants and employees.</w:t>
      </w:r>
    </w:p>
    <w:p w14:paraId="51F71BC5" w14:textId="77777777" w:rsidR="00933803" w:rsidRDefault="00933803" w:rsidP="00933803">
      <w:pPr>
        <w:pStyle w:val="AHPRAbody"/>
      </w:pPr>
    </w:p>
    <w:p w14:paraId="735E2835" w14:textId="2CB5D499" w:rsidR="00933803" w:rsidRPr="00A933F7" w:rsidRDefault="00933803" w:rsidP="00933803">
      <w:pPr>
        <w:pStyle w:val="AHPRANumberedsubheadinglevel1"/>
        <w:numPr>
          <w:ilvl w:val="0"/>
          <w:numId w:val="0"/>
        </w:numPr>
        <w:rPr>
          <w:b w:val="0"/>
          <w:bCs/>
          <w:sz w:val="24"/>
        </w:rPr>
      </w:pPr>
      <w:r>
        <w:rPr>
          <w:b w:val="0"/>
          <w:bCs/>
          <w:sz w:val="24"/>
        </w:rPr>
        <w:t>Conflicts of Interest</w:t>
      </w:r>
    </w:p>
    <w:p w14:paraId="2DBF3CBC" w14:textId="27E5E7F8" w:rsidR="00933803" w:rsidRDefault="00933803" w:rsidP="00933803">
      <w:pPr>
        <w:pStyle w:val="AHPRAbody"/>
      </w:pPr>
      <w:r>
        <w:lastRenderedPageBreak/>
        <w:t xml:space="preserve">A conflict of interest can be perceived or real. </w:t>
      </w:r>
    </w:p>
    <w:p w14:paraId="6D67F159" w14:textId="2AD1932C" w:rsidR="00933803" w:rsidRDefault="00933803" w:rsidP="00933803">
      <w:pPr>
        <w:pStyle w:val="AHPRAbody"/>
      </w:pPr>
      <w:r>
        <w:t xml:space="preserve">Panel members should declare any conflict of interest prior to the commencement of an interview process. </w:t>
      </w:r>
    </w:p>
    <w:p w14:paraId="4507D0A8" w14:textId="665AF80D" w:rsidR="003E0484" w:rsidRDefault="003E0484" w:rsidP="00933803">
      <w:pPr>
        <w:pStyle w:val="AHPRAbody"/>
      </w:pPr>
      <w:r>
        <w:t>A Panel member may choose or be directed not to partake in the interview process where a conflict of interest has been declared.</w:t>
      </w:r>
    </w:p>
    <w:p w14:paraId="3D0A7D18" w14:textId="69624002" w:rsidR="00933803" w:rsidRDefault="00933803" w:rsidP="00933803">
      <w:pPr>
        <w:pStyle w:val="AHPRAbody"/>
      </w:pPr>
      <w:r>
        <w:t xml:space="preserve">A conflict may include; </w:t>
      </w:r>
    </w:p>
    <w:p w14:paraId="793E88BB" w14:textId="4AEB0588" w:rsidR="00933803" w:rsidRDefault="00681EBF" w:rsidP="00933803">
      <w:pPr>
        <w:pStyle w:val="AHPRAbody"/>
        <w:numPr>
          <w:ilvl w:val="0"/>
          <w:numId w:val="19"/>
        </w:numPr>
      </w:pPr>
      <w:r>
        <w:t>a</w:t>
      </w:r>
      <w:r w:rsidR="00933803">
        <w:t xml:space="preserve"> personal friendship or relationship with the candidate both in or outside the workplace</w:t>
      </w:r>
    </w:p>
    <w:p w14:paraId="101A95E6" w14:textId="4FD17F4C" w:rsidR="00933803" w:rsidRDefault="00681EBF" w:rsidP="00933803">
      <w:pPr>
        <w:pStyle w:val="AHPRAbody"/>
        <w:numPr>
          <w:ilvl w:val="0"/>
          <w:numId w:val="19"/>
        </w:numPr>
      </w:pPr>
      <w:r>
        <w:t>a</w:t>
      </w:r>
      <w:r w:rsidR="00933803">
        <w:t xml:space="preserve"> previous work history or employment relationship</w:t>
      </w:r>
      <w:r w:rsidR="003E0484">
        <w:t xml:space="preserve"> at any time prior to the process</w:t>
      </w:r>
    </w:p>
    <w:p w14:paraId="5F473259" w14:textId="476589BA" w:rsidR="00933803" w:rsidRDefault="00681EBF" w:rsidP="00933803">
      <w:pPr>
        <w:pStyle w:val="AHPRAbody"/>
        <w:numPr>
          <w:ilvl w:val="0"/>
          <w:numId w:val="19"/>
        </w:numPr>
      </w:pPr>
      <w:r>
        <w:t>k</w:t>
      </w:r>
      <w:r w:rsidR="00933803">
        <w:t>nowledge of the candidate through relatives or friends</w:t>
      </w:r>
    </w:p>
    <w:p w14:paraId="74E8AD9D" w14:textId="5E5C9B6D" w:rsidR="00933803" w:rsidRDefault="00681EBF" w:rsidP="00933803">
      <w:pPr>
        <w:pStyle w:val="AHPRAbody"/>
        <w:numPr>
          <w:ilvl w:val="0"/>
          <w:numId w:val="19"/>
        </w:numPr>
      </w:pPr>
      <w:r>
        <w:t>i</w:t>
      </w:r>
      <w:r w:rsidR="00933803">
        <w:t>nteraction with the candidate in a social setting such as school affiliations, sporting clubs etc</w:t>
      </w:r>
      <w:r>
        <w:t>, and/or</w:t>
      </w:r>
      <w:r w:rsidR="00933803">
        <w:t xml:space="preserve"> </w:t>
      </w:r>
    </w:p>
    <w:p w14:paraId="6B92BD23" w14:textId="7BE16653" w:rsidR="00933803" w:rsidRDefault="003E0484" w:rsidP="00933803">
      <w:pPr>
        <w:pStyle w:val="AHPRAbody"/>
        <w:numPr>
          <w:ilvl w:val="0"/>
          <w:numId w:val="19"/>
        </w:numPr>
      </w:pPr>
      <w:r>
        <w:t>instances where the applicant is a member of the panel member’s immediate or extended family.</w:t>
      </w:r>
    </w:p>
    <w:p w14:paraId="0B334643" w14:textId="7E9BC9D5" w:rsidR="00945147" w:rsidRPr="00A933F7" w:rsidRDefault="00945147" w:rsidP="00933803">
      <w:pPr>
        <w:pStyle w:val="AHPRANumberedsubheadinglevel1"/>
        <w:numPr>
          <w:ilvl w:val="0"/>
          <w:numId w:val="0"/>
        </w:numPr>
        <w:rPr>
          <w:b w:val="0"/>
          <w:bCs/>
          <w:sz w:val="24"/>
        </w:rPr>
      </w:pPr>
      <w:r w:rsidRPr="00A933F7">
        <w:rPr>
          <w:b w:val="0"/>
          <w:bCs/>
          <w:sz w:val="24"/>
        </w:rPr>
        <w:t xml:space="preserve">Eligibility </w:t>
      </w:r>
      <w:r w:rsidR="005259C8" w:rsidRPr="00A933F7">
        <w:rPr>
          <w:b w:val="0"/>
          <w:bCs/>
          <w:sz w:val="24"/>
        </w:rPr>
        <w:t xml:space="preserve">to </w:t>
      </w:r>
      <w:r w:rsidRPr="00A933F7">
        <w:rPr>
          <w:b w:val="0"/>
          <w:bCs/>
          <w:sz w:val="24"/>
        </w:rPr>
        <w:t>apply and appointment</w:t>
      </w:r>
    </w:p>
    <w:p w14:paraId="212B1DB9" w14:textId="0B9D7D0A" w:rsidR="00945147" w:rsidRDefault="005259C8" w:rsidP="00933803">
      <w:pPr>
        <w:pStyle w:val="AHPRAbody"/>
      </w:pPr>
      <w:r>
        <w:t>If a ro</w:t>
      </w:r>
      <w:r w:rsidR="000D07E1">
        <w:t>le is only advertised internally</w:t>
      </w:r>
      <w:r>
        <w:t xml:space="preserve">, only </w:t>
      </w:r>
      <w:r w:rsidR="00424311">
        <w:t>Ahpra</w:t>
      </w:r>
      <w:r>
        <w:t xml:space="preserve"> employees are eligible to apply. </w:t>
      </w:r>
    </w:p>
    <w:p w14:paraId="7C549DE7" w14:textId="41ED604A" w:rsidR="007B7752" w:rsidRDefault="005259C8" w:rsidP="00933803">
      <w:pPr>
        <w:spacing w:after="0"/>
        <w:rPr>
          <w:rFonts w:eastAsia="Times New Roman" w:cs="Arial"/>
          <w:szCs w:val="20"/>
          <w:lang w:val="en-US"/>
        </w:rPr>
      </w:pPr>
      <w:r>
        <w:t xml:space="preserve">Under Australian immigration law, </w:t>
      </w:r>
      <w:r w:rsidR="007B7752">
        <w:t>only</w:t>
      </w:r>
      <w:r w:rsidR="007B7752" w:rsidRPr="007B7752">
        <w:rPr>
          <w:rFonts w:eastAsia="Times New Roman" w:cs="Arial"/>
          <w:szCs w:val="20"/>
          <w:lang w:val="en-US"/>
        </w:rPr>
        <w:t xml:space="preserve"> Australian citizen</w:t>
      </w:r>
      <w:r w:rsidR="007B7752">
        <w:rPr>
          <w:rFonts w:eastAsia="Times New Roman" w:cs="Arial"/>
          <w:szCs w:val="20"/>
          <w:lang w:val="en-US"/>
        </w:rPr>
        <w:t>s</w:t>
      </w:r>
      <w:r w:rsidR="007B7752" w:rsidRPr="007B7752">
        <w:rPr>
          <w:rFonts w:eastAsia="Times New Roman" w:cs="Arial"/>
          <w:szCs w:val="20"/>
          <w:lang w:val="en-US"/>
        </w:rPr>
        <w:t xml:space="preserve">, permanent residents of Australia or New Zealand citizens who have entered Australia on a valid passport, who </w:t>
      </w:r>
      <w:r w:rsidR="00681EBF" w:rsidRPr="007B7752">
        <w:rPr>
          <w:rFonts w:eastAsia="Times New Roman" w:cs="Arial"/>
          <w:szCs w:val="20"/>
          <w:lang w:val="en-US"/>
        </w:rPr>
        <w:t>can</w:t>
      </w:r>
      <w:r w:rsidR="007B7752" w:rsidRPr="007B7752">
        <w:rPr>
          <w:rFonts w:eastAsia="Times New Roman" w:cs="Arial"/>
          <w:szCs w:val="20"/>
          <w:lang w:val="en-US"/>
        </w:rPr>
        <w:t xml:space="preserve"> stay and work in Australia without restriction, are eligible for employment</w:t>
      </w:r>
      <w:r w:rsidR="007B7752">
        <w:rPr>
          <w:rFonts w:eastAsia="Times New Roman" w:cs="Arial"/>
          <w:szCs w:val="20"/>
          <w:lang w:val="en-US"/>
        </w:rPr>
        <w:t xml:space="preserve">. </w:t>
      </w:r>
    </w:p>
    <w:p w14:paraId="411657F6" w14:textId="77777777" w:rsidR="007B7752" w:rsidRDefault="007B7752" w:rsidP="00933803">
      <w:pPr>
        <w:spacing w:after="0"/>
        <w:rPr>
          <w:rFonts w:eastAsia="Times New Roman" w:cs="Arial"/>
          <w:szCs w:val="20"/>
          <w:lang w:val="en-US"/>
        </w:rPr>
      </w:pPr>
    </w:p>
    <w:p w14:paraId="7888062E" w14:textId="5DB92D99" w:rsidR="007B7752" w:rsidRDefault="007B7752" w:rsidP="00933803">
      <w:pPr>
        <w:spacing w:after="0"/>
        <w:rPr>
          <w:rFonts w:eastAsia="Times New Roman" w:cs="Arial"/>
          <w:szCs w:val="20"/>
          <w:lang w:val="en-US"/>
        </w:rPr>
      </w:pPr>
      <w:r w:rsidRPr="007B7752">
        <w:rPr>
          <w:rFonts w:eastAsia="Times New Roman" w:cs="Arial"/>
          <w:szCs w:val="20"/>
          <w:lang w:val="en-US"/>
        </w:rPr>
        <w:t xml:space="preserve">A person </w:t>
      </w:r>
      <w:r>
        <w:rPr>
          <w:rFonts w:eastAsia="Times New Roman" w:cs="Arial"/>
          <w:szCs w:val="20"/>
          <w:lang w:val="en-US"/>
        </w:rPr>
        <w:t xml:space="preserve">who is not </w:t>
      </w:r>
      <w:r w:rsidRPr="007B7752">
        <w:rPr>
          <w:rFonts w:eastAsia="Times New Roman" w:cs="Arial"/>
          <w:szCs w:val="20"/>
          <w:lang w:val="en-US"/>
        </w:rPr>
        <w:t>an Australian citizen or permanent resident is only eligible for temporary employment for a period not longer than the duration of their current visa.  The letter of offer for employment of such an applicant must specify that the employment is on a temporary basis and not guaranteed beyond the specified end date of the visa.</w:t>
      </w:r>
    </w:p>
    <w:p w14:paraId="25047BBE" w14:textId="77777777" w:rsidR="007B7752" w:rsidRPr="007B7752" w:rsidRDefault="007B7752" w:rsidP="00933803">
      <w:pPr>
        <w:spacing w:after="0"/>
        <w:rPr>
          <w:rFonts w:eastAsia="Times New Roman" w:cs="Arial"/>
          <w:szCs w:val="20"/>
          <w:lang w:val="en-US"/>
        </w:rPr>
      </w:pPr>
    </w:p>
    <w:p w14:paraId="380BEE88" w14:textId="62861A3C" w:rsidR="007B7752" w:rsidRDefault="007B7752" w:rsidP="00933803">
      <w:pPr>
        <w:pStyle w:val="AHPRAbody"/>
      </w:pPr>
      <w:r>
        <w:t xml:space="preserve">Overseas applicants may be appointed to a permanent position if they have been sponsored by </w:t>
      </w:r>
      <w:r w:rsidR="00424311">
        <w:t>Ahpra</w:t>
      </w:r>
      <w:r>
        <w:t xml:space="preserve">. </w:t>
      </w:r>
    </w:p>
    <w:p w14:paraId="0A517454" w14:textId="72AB8994" w:rsidR="005259C8" w:rsidRPr="00A933F7" w:rsidRDefault="005259C8" w:rsidP="00933803">
      <w:pPr>
        <w:pStyle w:val="AHPRANumberedsubheadinglevel1"/>
        <w:numPr>
          <w:ilvl w:val="0"/>
          <w:numId w:val="0"/>
        </w:numPr>
        <w:rPr>
          <w:b w:val="0"/>
          <w:bCs/>
          <w:sz w:val="24"/>
        </w:rPr>
      </w:pPr>
      <w:r w:rsidRPr="00A933F7">
        <w:rPr>
          <w:b w:val="0"/>
          <w:bCs/>
          <w:sz w:val="24"/>
        </w:rPr>
        <w:t>Pre-employment checks</w:t>
      </w:r>
    </w:p>
    <w:p w14:paraId="39C9E6FB" w14:textId="34E07BDC" w:rsidR="005259C8" w:rsidRPr="005259C8" w:rsidRDefault="005259C8" w:rsidP="00933803">
      <w:pPr>
        <w:pStyle w:val="AHPRAbody"/>
      </w:pPr>
      <w:r>
        <w:t xml:space="preserve">Any applicant who applies for a role must agree to undergo pre-employment checks including reference, medical and criminal history checks, as required. </w:t>
      </w:r>
    </w:p>
    <w:p w14:paraId="675EAD54" w14:textId="77777777" w:rsidR="005259C8" w:rsidRPr="00A933F7" w:rsidRDefault="005259C8" w:rsidP="00933803">
      <w:pPr>
        <w:pStyle w:val="AHPRANumberedsubheadinglevel1"/>
        <w:numPr>
          <w:ilvl w:val="0"/>
          <w:numId w:val="0"/>
        </w:numPr>
        <w:rPr>
          <w:b w:val="0"/>
          <w:bCs/>
          <w:sz w:val="24"/>
        </w:rPr>
      </w:pPr>
      <w:r w:rsidRPr="00A933F7">
        <w:rPr>
          <w:b w:val="0"/>
          <w:bCs/>
          <w:sz w:val="24"/>
        </w:rPr>
        <w:t>Advertising Positions</w:t>
      </w:r>
    </w:p>
    <w:p w14:paraId="3E2EFF5B" w14:textId="16A047EA" w:rsidR="00C93735" w:rsidRPr="005259C8" w:rsidRDefault="00C93735" w:rsidP="00933803">
      <w:pPr>
        <w:pStyle w:val="AHPRANumberedsubheadinglevel1"/>
        <w:numPr>
          <w:ilvl w:val="0"/>
          <w:numId w:val="0"/>
        </w:numPr>
        <w:rPr>
          <w:b w:val="0"/>
          <w:color w:val="auto"/>
        </w:rPr>
      </w:pPr>
      <w:r w:rsidRPr="005259C8">
        <w:rPr>
          <w:b w:val="0"/>
          <w:color w:val="auto"/>
        </w:rPr>
        <w:t xml:space="preserve">The following </w:t>
      </w:r>
      <w:r w:rsidR="000D07E1">
        <w:rPr>
          <w:b w:val="0"/>
          <w:color w:val="auto"/>
        </w:rPr>
        <w:t>principles</w:t>
      </w:r>
      <w:r w:rsidRPr="005259C8">
        <w:rPr>
          <w:b w:val="0"/>
          <w:color w:val="auto"/>
        </w:rPr>
        <w:t xml:space="preserve"> should be applied when deciding how to advertise and fill a vacant position</w:t>
      </w: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1941"/>
        <w:gridCol w:w="2194"/>
        <w:gridCol w:w="2250"/>
        <w:gridCol w:w="3247"/>
      </w:tblGrid>
      <w:tr w:rsidR="00C93735" w:rsidRPr="00E03ADB" w14:paraId="2CC70B26" w14:textId="2CF993C0" w:rsidTr="00E03ADB">
        <w:trPr>
          <w:trHeight w:val="488"/>
        </w:trPr>
        <w:tc>
          <w:tcPr>
            <w:tcW w:w="1941" w:type="dxa"/>
          </w:tcPr>
          <w:p w14:paraId="44A1CDA1" w14:textId="0BB0BDB6" w:rsidR="00C93735" w:rsidRPr="00E03ADB" w:rsidRDefault="00C93735" w:rsidP="00933803">
            <w:pPr>
              <w:pStyle w:val="AHPRAbody"/>
              <w:spacing w:before="360"/>
              <w:rPr>
                <w:b/>
                <w:szCs w:val="20"/>
              </w:rPr>
            </w:pPr>
            <w:r w:rsidRPr="00E03ADB">
              <w:rPr>
                <w:b/>
                <w:szCs w:val="20"/>
              </w:rPr>
              <w:t>Position</w:t>
            </w:r>
          </w:p>
        </w:tc>
        <w:tc>
          <w:tcPr>
            <w:tcW w:w="2194" w:type="dxa"/>
          </w:tcPr>
          <w:p w14:paraId="0E5A859D" w14:textId="225254EE" w:rsidR="00C93735" w:rsidRPr="00E03ADB" w:rsidRDefault="005259C8" w:rsidP="00933803">
            <w:pPr>
              <w:pStyle w:val="AHPRAbody"/>
              <w:spacing w:before="360"/>
              <w:rPr>
                <w:b/>
                <w:szCs w:val="20"/>
              </w:rPr>
            </w:pPr>
            <w:r w:rsidRPr="00E03ADB">
              <w:rPr>
                <w:b/>
                <w:szCs w:val="20"/>
              </w:rPr>
              <w:t xml:space="preserve">Internal Advertising </w:t>
            </w:r>
          </w:p>
        </w:tc>
        <w:tc>
          <w:tcPr>
            <w:tcW w:w="2250" w:type="dxa"/>
          </w:tcPr>
          <w:p w14:paraId="41C48FA2" w14:textId="2B867CB7" w:rsidR="00C93735" w:rsidRPr="00E03ADB" w:rsidRDefault="00C93735" w:rsidP="00933803">
            <w:pPr>
              <w:pStyle w:val="AHPRAbody"/>
              <w:spacing w:before="360"/>
              <w:rPr>
                <w:b/>
                <w:szCs w:val="20"/>
              </w:rPr>
            </w:pPr>
            <w:r w:rsidRPr="00E03ADB">
              <w:rPr>
                <w:b/>
                <w:szCs w:val="20"/>
              </w:rPr>
              <w:t>External</w:t>
            </w:r>
            <w:r w:rsidR="005259C8" w:rsidRPr="00E03ADB">
              <w:rPr>
                <w:b/>
                <w:szCs w:val="20"/>
              </w:rPr>
              <w:t xml:space="preserve"> Advertising</w:t>
            </w:r>
          </w:p>
        </w:tc>
        <w:tc>
          <w:tcPr>
            <w:tcW w:w="3247" w:type="dxa"/>
          </w:tcPr>
          <w:p w14:paraId="7DA5E82A" w14:textId="13EAE883" w:rsidR="00C93735" w:rsidRPr="00E03ADB" w:rsidRDefault="00C93735" w:rsidP="00933803">
            <w:pPr>
              <w:pStyle w:val="AHPRAbody"/>
              <w:spacing w:before="360"/>
              <w:rPr>
                <w:b/>
                <w:szCs w:val="20"/>
              </w:rPr>
            </w:pPr>
            <w:r w:rsidRPr="00E03ADB">
              <w:rPr>
                <w:b/>
                <w:szCs w:val="20"/>
              </w:rPr>
              <w:t>Comments</w:t>
            </w:r>
          </w:p>
        </w:tc>
      </w:tr>
      <w:tr w:rsidR="007B7752" w:rsidRPr="00E03ADB" w14:paraId="1F987E1D" w14:textId="77777777" w:rsidTr="00E03ADB">
        <w:tc>
          <w:tcPr>
            <w:tcW w:w="1941" w:type="dxa"/>
          </w:tcPr>
          <w:p w14:paraId="0236D10D" w14:textId="4314EA9C" w:rsidR="007B7752" w:rsidRPr="00E03ADB" w:rsidRDefault="007B7752" w:rsidP="00933803">
            <w:pPr>
              <w:pStyle w:val="AHPRAbody"/>
              <w:spacing w:before="360"/>
              <w:rPr>
                <w:szCs w:val="20"/>
              </w:rPr>
            </w:pPr>
            <w:r w:rsidRPr="00E03ADB">
              <w:rPr>
                <w:szCs w:val="20"/>
              </w:rPr>
              <w:t>Casual</w:t>
            </w:r>
          </w:p>
        </w:tc>
        <w:tc>
          <w:tcPr>
            <w:tcW w:w="2194" w:type="dxa"/>
          </w:tcPr>
          <w:p w14:paraId="0BFEA449" w14:textId="68B34A7F" w:rsidR="007B7752" w:rsidRPr="00E03ADB" w:rsidRDefault="007B7752" w:rsidP="00933803">
            <w:pPr>
              <w:pStyle w:val="AHPRAbody"/>
              <w:spacing w:before="360"/>
              <w:rPr>
                <w:szCs w:val="20"/>
              </w:rPr>
            </w:pPr>
            <w:r w:rsidRPr="00E03ADB">
              <w:rPr>
                <w:szCs w:val="20"/>
              </w:rPr>
              <w:t>If required</w:t>
            </w:r>
          </w:p>
        </w:tc>
        <w:tc>
          <w:tcPr>
            <w:tcW w:w="2250" w:type="dxa"/>
          </w:tcPr>
          <w:p w14:paraId="42F13FB7" w14:textId="67C513BC" w:rsidR="007B7752" w:rsidRPr="00E03ADB" w:rsidRDefault="00E03ADB" w:rsidP="00933803">
            <w:pPr>
              <w:pStyle w:val="AHPRAbody"/>
              <w:spacing w:before="360"/>
              <w:rPr>
                <w:szCs w:val="20"/>
              </w:rPr>
            </w:pPr>
            <w:r>
              <w:rPr>
                <w:szCs w:val="20"/>
              </w:rPr>
              <w:t>Minimum</w:t>
            </w:r>
            <w:r w:rsidR="007B7752" w:rsidRPr="00E03ADB">
              <w:rPr>
                <w:szCs w:val="20"/>
              </w:rPr>
              <w:t xml:space="preserve"> 5 working days </w:t>
            </w:r>
          </w:p>
        </w:tc>
        <w:tc>
          <w:tcPr>
            <w:tcW w:w="3247" w:type="dxa"/>
          </w:tcPr>
          <w:p w14:paraId="3C262CFB" w14:textId="00B6E80B" w:rsidR="007B7752" w:rsidRPr="00E03ADB" w:rsidRDefault="007B7752" w:rsidP="00933803">
            <w:pPr>
              <w:pStyle w:val="AHPRAbody"/>
              <w:spacing w:before="360"/>
              <w:rPr>
                <w:szCs w:val="20"/>
              </w:rPr>
            </w:pPr>
            <w:r w:rsidRPr="00E03ADB">
              <w:rPr>
                <w:szCs w:val="20"/>
              </w:rPr>
              <w:t>Used to fill short term positions for project work or to meet an increase in operational demand</w:t>
            </w:r>
          </w:p>
        </w:tc>
      </w:tr>
      <w:tr w:rsidR="007B7752" w:rsidRPr="00E03ADB" w14:paraId="14D4BE33" w14:textId="77777777" w:rsidTr="00E03ADB">
        <w:tc>
          <w:tcPr>
            <w:tcW w:w="1941" w:type="dxa"/>
          </w:tcPr>
          <w:p w14:paraId="42B4D479" w14:textId="07CEB62C" w:rsidR="000D07E1" w:rsidRPr="00E03ADB" w:rsidRDefault="007B7752" w:rsidP="00933803">
            <w:pPr>
              <w:pStyle w:val="AHPRAbody"/>
              <w:spacing w:before="360"/>
              <w:rPr>
                <w:szCs w:val="20"/>
              </w:rPr>
            </w:pPr>
            <w:r w:rsidRPr="00E03ADB">
              <w:rPr>
                <w:szCs w:val="20"/>
              </w:rPr>
              <w:t xml:space="preserve">Temporary </w:t>
            </w:r>
            <w:r w:rsidR="003E0484">
              <w:rPr>
                <w:szCs w:val="20"/>
              </w:rPr>
              <w:t>appointment</w:t>
            </w:r>
          </w:p>
        </w:tc>
        <w:tc>
          <w:tcPr>
            <w:tcW w:w="2194" w:type="dxa"/>
          </w:tcPr>
          <w:p w14:paraId="2E47F54F" w14:textId="095C459A" w:rsidR="007B7752" w:rsidRPr="00E03ADB" w:rsidRDefault="003E0484" w:rsidP="00933803">
            <w:pPr>
              <w:pStyle w:val="AHPRAbody"/>
              <w:spacing w:before="360"/>
              <w:rPr>
                <w:szCs w:val="20"/>
              </w:rPr>
            </w:pPr>
            <w:r>
              <w:rPr>
                <w:szCs w:val="20"/>
              </w:rPr>
              <w:t>Minimum 5 working days</w:t>
            </w:r>
          </w:p>
        </w:tc>
        <w:tc>
          <w:tcPr>
            <w:tcW w:w="2250" w:type="dxa"/>
          </w:tcPr>
          <w:p w14:paraId="199A98E4" w14:textId="33E6DA98" w:rsidR="007B7752" w:rsidRPr="00E03ADB" w:rsidRDefault="007B7752" w:rsidP="00933803">
            <w:pPr>
              <w:pStyle w:val="AHPRAbody"/>
              <w:spacing w:before="360"/>
              <w:rPr>
                <w:szCs w:val="20"/>
              </w:rPr>
            </w:pPr>
          </w:p>
        </w:tc>
        <w:tc>
          <w:tcPr>
            <w:tcW w:w="3247" w:type="dxa"/>
          </w:tcPr>
          <w:p w14:paraId="0C252AB9" w14:textId="77777777" w:rsidR="007B7752" w:rsidRDefault="003E0484" w:rsidP="00933803">
            <w:pPr>
              <w:pStyle w:val="AHPRAbody"/>
              <w:spacing w:before="360"/>
              <w:rPr>
                <w:szCs w:val="20"/>
              </w:rPr>
            </w:pPr>
            <w:r>
              <w:rPr>
                <w:szCs w:val="20"/>
              </w:rPr>
              <w:t xml:space="preserve">Temporary appointment up to six weeks can be filled without a recruitment process. </w:t>
            </w:r>
          </w:p>
          <w:p w14:paraId="5AE8175A" w14:textId="5DF8BF59" w:rsidR="003E0484" w:rsidRPr="00E03ADB" w:rsidRDefault="003E0484" w:rsidP="00933803">
            <w:pPr>
              <w:pStyle w:val="AHPRAbody"/>
              <w:spacing w:before="360"/>
              <w:rPr>
                <w:szCs w:val="20"/>
              </w:rPr>
            </w:pPr>
            <w:r>
              <w:rPr>
                <w:szCs w:val="20"/>
              </w:rPr>
              <w:t>Temporary appointment beyond six weeks must be advertised internally.</w:t>
            </w:r>
          </w:p>
        </w:tc>
      </w:tr>
      <w:tr w:rsidR="007B7752" w:rsidRPr="00E03ADB" w14:paraId="3ACA9103" w14:textId="60C89508" w:rsidTr="00E03ADB">
        <w:trPr>
          <w:trHeight w:val="2549"/>
        </w:trPr>
        <w:tc>
          <w:tcPr>
            <w:tcW w:w="1941" w:type="dxa"/>
          </w:tcPr>
          <w:p w14:paraId="6B038DB7" w14:textId="730B77BC" w:rsidR="007B7752" w:rsidRPr="00E03ADB" w:rsidRDefault="007B7752" w:rsidP="00933803">
            <w:pPr>
              <w:pStyle w:val="AHPRAbody"/>
              <w:spacing w:before="360"/>
              <w:rPr>
                <w:szCs w:val="20"/>
              </w:rPr>
            </w:pPr>
            <w:r w:rsidRPr="00E03ADB">
              <w:rPr>
                <w:szCs w:val="20"/>
              </w:rPr>
              <w:lastRenderedPageBreak/>
              <w:t>Grades 1 - 9 and covered by the Enterprise Agreement</w:t>
            </w:r>
          </w:p>
        </w:tc>
        <w:tc>
          <w:tcPr>
            <w:tcW w:w="2194" w:type="dxa"/>
          </w:tcPr>
          <w:p w14:paraId="02608851" w14:textId="10D065D5" w:rsidR="007B7752" w:rsidRPr="00E03ADB" w:rsidRDefault="007B7752" w:rsidP="00933803">
            <w:pPr>
              <w:pStyle w:val="AHPRAbody"/>
              <w:spacing w:before="360"/>
              <w:rPr>
                <w:szCs w:val="20"/>
              </w:rPr>
            </w:pPr>
            <w:r w:rsidRPr="00E03ADB">
              <w:rPr>
                <w:szCs w:val="20"/>
              </w:rPr>
              <w:t>Minimum 5 working days</w:t>
            </w:r>
          </w:p>
        </w:tc>
        <w:tc>
          <w:tcPr>
            <w:tcW w:w="2250" w:type="dxa"/>
          </w:tcPr>
          <w:p w14:paraId="4C5A2F04" w14:textId="05BFAB3C" w:rsidR="007B7752" w:rsidRPr="00E03ADB" w:rsidRDefault="00E03ADB" w:rsidP="00933803">
            <w:pPr>
              <w:pStyle w:val="AHPRAbody"/>
              <w:spacing w:before="360"/>
              <w:rPr>
                <w:szCs w:val="20"/>
              </w:rPr>
            </w:pPr>
            <w:r>
              <w:rPr>
                <w:szCs w:val="20"/>
              </w:rPr>
              <w:t>Minimum</w:t>
            </w:r>
            <w:r w:rsidR="007B7752" w:rsidRPr="00E03ADB">
              <w:rPr>
                <w:szCs w:val="20"/>
              </w:rPr>
              <w:t xml:space="preserve"> 5 working days</w:t>
            </w:r>
          </w:p>
        </w:tc>
        <w:tc>
          <w:tcPr>
            <w:tcW w:w="3247" w:type="dxa"/>
          </w:tcPr>
          <w:p w14:paraId="651FE251" w14:textId="2FB60865" w:rsidR="007B7752" w:rsidRPr="00E03ADB" w:rsidRDefault="007B7752" w:rsidP="00933803">
            <w:pPr>
              <w:pStyle w:val="AHPRAbody"/>
              <w:spacing w:before="360"/>
              <w:rPr>
                <w:szCs w:val="20"/>
              </w:rPr>
            </w:pPr>
            <w:r w:rsidRPr="00E03ADB">
              <w:rPr>
                <w:szCs w:val="20"/>
              </w:rPr>
              <w:t>Positions are to be advertised internally first</w:t>
            </w:r>
          </w:p>
          <w:p w14:paraId="0A0A44D4" w14:textId="7B4310C9" w:rsidR="007B7752" w:rsidRPr="00E03ADB" w:rsidRDefault="007B7752" w:rsidP="00933803">
            <w:pPr>
              <w:pStyle w:val="AHPRAbody"/>
              <w:spacing w:before="360"/>
              <w:rPr>
                <w:szCs w:val="20"/>
              </w:rPr>
            </w:pPr>
            <w:r w:rsidRPr="00E03ADB">
              <w:rPr>
                <w:szCs w:val="20"/>
              </w:rPr>
              <w:t xml:space="preserve">Where there is an operational need a manager may advertise concurrently but redeployees and internal applicants must be reviewed and </w:t>
            </w:r>
            <w:r w:rsidR="000D07E1">
              <w:rPr>
                <w:szCs w:val="20"/>
              </w:rPr>
              <w:t>consider</w:t>
            </w:r>
            <w:r w:rsidRPr="00E03ADB">
              <w:rPr>
                <w:szCs w:val="20"/>
              </w:rPr>
              <w:t xml:space="preserve">ed first. </w:t>
            </w:r>
          </w:p>
        </w:tc>
      </w:tr>
      <w:tr w:rsidR="007B7752" w:rsidRPr="00E03ADB" w14:paraId="3AF09AF2" w14:textId="46FF223A" w:rsidTr="00E03ADB">
        <w:tc>
          <w:tcPr>
            <w:tcW w:w="1941" w:type="dxa"/>
          </w:tcPr>
          <w:p w14:paraId="0829E16E" w14:textId="56BE47F3" w:rsidR="007B7752" w:rsidRPr="00E03ADB" w:rsidRDefault="000D07E1" w:rsidP="00933803">
            <w:pPr>
              <w:pStyle w:val="AHPRAbody"/>
              <w:spacing w:before="360"/>
              <w:rPr>
                <w:szCs w:val="20"/>
              </w:rPr>
            </w:pPr>
            <w:r>
              <w:rPr>
                <w:szCs w:val="20"/>
              </w:rPr>
              <w:t xml:space="preserve">Individual and </w:t>
            </w:r>
            <w:r w:rsidR="007B7752" w:rsidRPr="00E03ADB">
              <w:rPr>
                <w:szCs w:val="20"/>
              </w:rPr>
              <w:t>Executive Contracts</w:t>
            </w:r>
          </w:p>
        </w:tc>
        <w:tc>
          <w:tcPr>
            <w:tcW w:w="2194" w:type="dxa"/>
          </w:tcPr>
          <w:p w14:paraId="49B9FB6C" w14:textId="4CE9AE5B" w:rsidR="007B7752" w:rsidRPr="00E03ADB" w:rsidRDefault="007B7752" w:rsidP="00933803">
            <w:pPr>
              <w:pStyle w:val="AHPRAbody"/>
              <w:spacing w:before="360"/>
              <w:rPr>
                <w:szCs w:val="20"/>
              </w:rPr>
            </w:pPr>
            <w:r w:rsidRPr="00E03ADB">
              <w:rPr>
                <w:szCs w:val="20"/>
              </w:rPr>
              <w:t>Minimum 5 working days</w:t>
            </w:r>
          </w:p>
        </w:tc>
        <w:tc>
          <w:tcPr>
            <w:tcW w:w="2250" w:type="dxa"/>
          </w:tcPr>
          <w:p w14:paraId="7EEF3C7E" w14:textId="7527CFEC" w:rsidR="007B7752" w:rsidRPr="00E03ADB" w:rsidRDefault="007B7752" w:rsidP="00933803">
            <w:pPr>
              <w:pStyle w:val="AHPRAbody"/>
              <w:spacing w:before="360"/>
              <w:rPr>
                <w:szCs w:val="20"/>
              </w:rPr>
            </w:pPr>
            <w:r w:rsidRPr="00E03ADB">
              <w:rPr>
                <w:szCs w:val="20"/>
              </w:rPr>
              <w:t>Minimum 5 working days</w:t>
            </w:r>
          </w:p>
        </w:tc>
        <w:tc>
          <w:tcPr>
            <w:tcW w:w="3247" w:type="dxa"/>
          </w:tcPr>
          <w:p w14:paraId="0402EAD1" w14:textId="5407C11E" w:rsidR="007B7752" w:rsidRPr="00E03ADB" w:rsidRDefault="007B7752" w:rsidP="00933803">
            <w:pPr>
              <w:pStyle w:val="AHPRAbody"/>
              <w:spacing w:before="360"/>
              <w:rPr>
                <w:szCs w:val="20"/>
              </w:rPr>
            </w:pPr>
            <w:r w:rsidRPr="00E03ADB">
              <w:rPr>
                <w:szCs w:val="20"/>
              </w:rPr>
              <w:t>Must be advertised concurrently</w:t>
            </w:r>
          </w:p>
          <w:p w14:paraId="44D0E12A" w14:textId="580541BC" w:rsidR="007B7752" w:rsidRPr="00E03ADB" w:rsidRDefault="007B7752" w:rsidP="00933803">
            <w:pPr>
              <w:pStyle w:val="AHPRAbody"/>
              <w:spacing w:before="360"/>
              <w:rPr>
                <w:szCs w:val="20"/>
              </w:rPr>
            </w:pPr>
            <w:r w:rsidRPr="00E03ADB">
              <w:rPr>
                <w:szCs w:val="20"/>
              </w:rPr>
              <w:t>An expression of interest does not apply to senior contract positions</w:t>
            </w:r>
          </w:p>
        </w:tc>
      </w:tr>
      <w:tr w:rsidR="007B7752" w:rsidRPr="00E03ADB" w14:paraId="20B357EE" w14:textId="77777777" w:rsidTr="00E03ADB">
        <w:tc>
          <w:tcPr>
            <w:tcW w:w="1941" w:type="dxa"/>
          </w:tcPr>
          <w:p w14:paraId="354BEA51" w14:textId="4FC38C0B" w:rsidR="007B7752" w:rsidRPr="00E03ADB" w:rsidRDefault="007B7752" w:rsidP="00933803">
            <w:pPr>
              <w:pStyle w:val="AHPRAbody"/>
              <w:spacing w:before="360"/>
              <w:rPr>
                <w:szCs w:val="20"/>
              </w:rPr>
            </w:pPr>
            <w:r w:rsidRPr="00E03ADB">
              <w:rPr>
                <w:szCs w:val="20"/>
              </w:rPr>
              <w:t>Contractor</w:t>
            </w:r>
          </w:p>
        </w:tc>
        <w:tc>
          <w:tcPr>
            <w:tcW w:w="2194" w:type="dxa"/>
          </w:tcPr>
          <w:p w14:paraId="3C68FF44" w14:textId="4FEE9C50" w:rsidR="007B7752" w:rsidRPr="00E03ADB" w:rsidRDefault="007B7752" w:rsidP="00933803">
            <w:pPr>
              <w:pStyle w:val="AHPRAbody"/>
              <w:spacing w:before="360"/>
              <w:rPr>
                <w:szCs w:val="20"/>
              </w:rPr>
            </w:pPr>
            <w:r w:rsidRPr="00E03ADB">
              <w:rPr>
                <w:szCs w:val="20"/>
              </w:rPr>
              <w:t>If required</w:t>
            </w:r>
          </w:p>
        </w:tc>
        <w:tc>
          <w:tcPr>
            <w:tcW w:w="2250" w:type="dxa"/>
          </w:tcPr>
          <w:p w14:paraId="2315A561" w14:textId="5D3E8C82" w:rsidR="007B7752" w:rsidRPr="00E03ADB" w:rsidRDefault="007B7752" w:rsidP="00933803">
            <w:pPr>
              <w:pStyle w:val="AHPRAbody"/>
              <w:spacing w:before="360"/>
              <w:rPr>
                <w:szCs w:val="20"/>
              </w:rPr>
            </w:pPr>
            <w:r w:rsidRPr="00E03ADB">
              <w:rPr>
                <w:szCs w:val="20"/>
              </w:rPr>
              <w:t>If required</w:t>
            </w:r>
          </w:p>
        </w:tc>
        <w:tc>
          <w:tcPr>
            <w:tcW w:w="3247" w:type="dxa"/>
          </w:tcPr>
          <w:p w14:paraId="10762D45" w14:textId="281AE67B" w:rsidR="007B7752" w:rsidRPr="00E03ADB" w:rsidRDefault="007B7752" w:rsidP="00933803">
            <w:pPr>
              <w:pStyle w:val="AHPRAbody"/>
              <w:spacing w:before="360"/>
              <w:rPr>
                <w:szCs w:val="20"/>
              </w:rPr>
            </w:pPr>
            <w:r w:rsidRPr="00E03ADB">
              <w:rPr>
                <w:szCs w:val="20"/>
              </w:rPr>
              <w:t>Use</w:t>
            </w:r>
            <w:r w:rsidR="000D07E1">
              <w:rPr>
                <w:szCs w:val="20"/>
              </w:rPr>
              <w:t xml:space="preserve"> of a</w:t>
            </w:r>
            <w:r w:rsidRPr="00E03ADB">
              <w:rPr>
                <w:szCs w:val="20"/>
              </w:rPr>
              <w:t xml:space="preserve"> recruitment agency, expression of interest or tender process</w:t>
            </w:r>
          </w:p>
        </w:tc>
      </w:tr>
      <w:tr w:rsidR="003E0484" w:rsidRPr="00E03ADB" w14:paraId="5CECF2BE" w14:textId="77777777" w:rsidTr="00E03ADB">
        <w:tc>
          <w:tcPr>
            <w:tcW w:w="1941" w:type="dxa"/>
          </w:tcPr>
          <w:p w14:paraId="4A2ABF10" w14:textId="3BF261DB" w:rsidR="003E0484" w:rsidRPr="00E03ADB" w:rsidRDefault="003E0484" w:rsidP="00933803">
            <w:pPr>
              <w:pStyle w:val="AHPRAbody"/>
              <w:spacing w:before="360"/>
              <w:rPr>
                <w:szCs w:val="20"/>
              </w:rPr>
            </w:pPr>
            <w:r>
              <w:rPr>
                <w:szCs w:val="20"/>
              </w:rPr>
              <w:t>Agency</w:t>
            </w:r>
          </w:p>
        </w:tc>
        <w:tc>
          <w:tcPr>
            <w:tcW w:w="2194" w:type="dxa"/>
          </w:tcPr>
          <w:p w14:paraId="64F0B515" w14:textId="77777777" w:rsidR="003E0484" w:rsidRPr="00E03ADB" w:rsidRDefault="003E0484" w:rsidP="00933803">
            <w:pPr>
              <w:pStyle w:val="AHPRAbody"/>
              <w:spacing w:before="360"/>
              <w:rPr>
                <w:szCs w:val="20"/>
              </w:rPr>
            </w:pPr>
          </w:p>
        </w:tc>
        <w:tc>
          <w:tcPr>
            <w:tcW w:w="2250" w:type="dxa"/>
          </w:tcPr>
          <w:p w14:paraId="015FD288" w14:textId="77777777" w:rsidR="003E0484" w:rsidRPr="00E03ADB" w:rsidRDefault="003E0484" w:rsidP="00933803">
            <w:pPr>
              <w:pStyle w:val="AHPRAbody"/>
              <w:spacing w:before="360"/>
              <w:rPr>
                <w:szCs w:val="20"/>
              </w:rPr>
            </w:pPr>
          </w:p>
        </w:tc>
        <w:tc>
          <w:tcPr>
            <w:tcW w:w="3247" w:type="dxa"/>
          </w:tcPr>
          <w:p w14:paraId="541C4E19" w14:textId="17A20813" w:rsidR="003E0484" w:rsidRPr="00E03ADB" w:rsidRDefault="003E0484" w:rsidP="00933803">
            <w:pPr>
              <w:pStyle w:val="AHPRAbody"/>
              <w:spacing w:before="360"/>
              <w:rPr>
                <w:szCs w:val="20"/>
              </w:rPr>
            </w:pPr>
            <w:r>
              <w:rPr>
                <w:szCs w:val="20"/>
              </w:rPr>
              <w:t>Use of a recruitment agency</w:t>
            </w:r>
          </w:p>
        </w:tc>
      </w:tr>
    </w:tbl>
    <w:p w14:paraId="55172945" w14:textId="77777777" w:rsidR="00B43B61" w:rsidRDefault="00B43B61" w:rsidP="00933803">
      <w:pPr>
        <w:spacing w:after="0"/>
        <w:ind w:left="360" w:hanging="360"/>
        <w:rPr>
          <w:rFonts w:eastAsia="Times New Roman" w:cs="Arial"/>
          <w:b/>
          <w:szCs w:val="20"/>
          <w:lang w:val="en-US"/>
        </w:rPr>
      </w:pPr>
    </w:p>
    <w:p w14:paraId="3F55F4EF" w14:textId="35A8E475" w:rsidR="00437CE5" w:rsidRDefault="00E03ADB" w:rsidP="00933803">
      <w:pPr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Where an employee has undertaken an acting opportunity for more than </w:t>
      </w:r>
      <w:r w:rsidR="009F0789">
        <w:rPr>
          <w:rFonts w:eastAsia="Times New Roman" w:cs="Arial"/>
          <w:szCs w:val="20"/>
          <w:lang w:val="en-US"/>
        </w:rPr>
        <w:t>6</w:t>
      </w:r>
      <w:r>
        <w:rPr>
          <w:rFonts w:eastAsia="Times New Roman" w:cs="Arial"/>
          <w:szCs w:val="20"/>
          <w:lang w:val="en-US"/>
        </w:rPr>
        <w:t xml:space="preserve"> months, a Manager may decide to directly appoint. This can only occur if the </w:t>
      </w:r>
      <w:r w:rsidR="007B7752">
        <w:rPr>
          <w:rFonts w:eastAsia="Times New Roman" w:cs="Arial"/>
          <w:szCs w:val="20"/>
          <w:lang w:val="en-US"/>
        </w:rPr>
        <w:t xml:space="preserve">employee has been </w:t>
      </w:r>
      <w:r w:rsidR="00B43B61" w:rsidRPr="00437CE5">
        <w:rPr>
          <w:rFonts w:eastAsia="Times New Roman" w:cs="Arial"/>
          <w:szCs w:val="20"/>
          <w:lang w:val="en-US"/>
        </w:rPr>
        <w:t>through a c</w:t>
      </w:r>
      <w:r w:rsidR="007B7752">
        <w:rPr>
          <w:rFonts w:eastAsia="Times New Roman" w:cs="Arial"/>
          <w:szCs w:val="20"/>
          <w:lang w:val="en-US"/>
        </w:rPr>
        <w:t xml:space="preserve">ompetitive recruitment process and </w:t>
      </w:r>
      <w:r w:rsidR="00B43B61" w:rsidRPr="00437CE5">
        <w:rPr>
          <w:rFonts w:eastAsia="Times New Roman" w:cs="Arial"/>
          <w:szCs w:val="20"/>
          <w:lang w:val="en-US"/>
        </w:rPr>
        <w:t xml:space="preserve">successfully completed </w:t>
      </w:r>
      <w:r w:rsidR="009F0789">
        <w:rPr>
          <w:rFonts w:eastAsia="Times New Roman" w:cs="Arial"/>
          <w:szCs w:val="20"/>
          <w:lang w:val="en-US"/>
        </w:rPr>
        <w:t>6</w:t>
      </w:r>
      <w:r w:rsidR="00B43B61" w:rsidRPr="00437CE5">
        <w:rPr>
          <w:rFonts w:eastAsia="Times New Roman" w:cs="Arial"/>
          <w:szCs w:val="20"/>
          <w:lang w:val="en-US"/>
        </w:rPr>
        <w:t xml:space="preserve"> months continuous performance in the role</w:t>
      </w:r>
      <w:r w:rsidR="007B7752">
        <w:rPr>
          <w:rFonts w:eastAsia="Times New Roman" w:cs="Arial"/>
          <w:szCs w:val="20"/>
          <w:lang w:val="en-US"/>
        </w:rPr>
        <w:t>.</w:t>
      </w:r>
    </w:p>
    <w:p w14:paraId="6B060BD7" w14:textId="77777777" w:rsidR="00933803" w:rsidRPr="00A933F7" w:rsidRDefault="00933803" w:rsidP="00933803">
      <w:pPr>
        <w:pStyle w:val="AHPRANumberedsubheadinglevel1"/>
        <w:numPr>
          <w:ilvl w:val="0"/>
          <w:numId w:val="0"/>
        </w:numPr>
        <w:rPr>
          <w:b w:val="0"/>
          <w:bCs/>
          <w:sz w:val="24"/>
        </w:rPr>
      </w:pPr>
      <w:r w:rsidRPr="00A933F7">
        <w:rPr>
          <w:b w:val="0"/>
          <w:bCs/>
          <w:sz w:val="24"/>
        </w:rPr>
        <w:t>Use of Recruitment Agencies</w:t>
      </w:r>
    </w:p>
    <w:p w14:paraId="3E255C0E" w14:textId="72228F15" w:rsidR="0013560C" w:rsidRDefault="0013560C" w:rsidP="00933803">
      <w:pPr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The use of a recruitment agency must be coordinated through the People and Culture recruitment team and make use of A</w:t>
      </w:r>
      <w:r w:rsidR="00424311">
        <w:rPr>
          <w:rFonts w:eastAsia="Times New Roman" w:cs="Arial"/>
          <w:szCs w:val="20"/>
          <w:lang w:val="en-US"/>
        </w:rPr>
        <w:t>hpra</w:t>
      </w:r>
      <w:r>
        <w:rPr>
          <w:rFonts w:eastAsia="Times New Roman" w:cs="Arial"/>
          <w:szCs w:val="20"/>
          <w:lang w:val="en-US"/>
        </w:rPr>
        <w:t xml:space="preserve">’s approved recruitment providers. A list of providers is maintained by the recruitment team along with agreed terms and conditions for engagement. Any approach to an external agency must be done in consultation with the </w:t>
      </w:r>
      <w:r w:rsidR="00681EBF">
        <w:rPr>
          <w:rFonts w:eastAsia="Times New Roman" w:cs="Arial"/>
          <w:szCs w:val="20"/>
          <w:lang w:val="en-US"/>
        </w:rPr>
        <w:t>r</w:t>
      </w:r>
      <w:r>
        <w:rPr>
          <w:rFonts w:eastAsia="Times New Roman" w:cs="Arial"/>
          <w:szCs w:val="20"/>
          <w:lang w:val="en-US"/>
        </w:rPr>
        <w:t xml:space="preserve">ecruitment </w:t>
      </w:r>
      <w:r w:rsidR="00681EBF">
        <w:rPr>
          <w:rFonts w:eastAsia="Times New Roman" w:cs="Arial"/>
          <w:szCs w:val="20"/>
          <w:lang w:val="en-US"/>
        </w:rPr>
        <w:t>m</w:t>
      </w:r>
      <w:r>
        <w:rPr>
          <w:rFonts w:eastAsia="Times New Roman" w:cs="Arial"/>
          <w:szCs w:val="20"/>
          <w:lang w:val="en-US"/>
        </w:rPr>
        <w:t xml:space="preserve">anager. </w:t>
      </w:r>
    </w:p>
    <w:p w14:paraId="551D2EC5" w14:textId="75389139" w:rsidR="0013560C" w:rsidRDefault="0013560C" w:rsidP="00933803">
      <w:pPr>
        <w:spacing w:after="0"/>
        <w:rPr>
          <w:rFonts w:eastAsia="Times New Roman" w:cs="Arial"/>
          <w:szCs w:val="20"/>
          <w:lang w:val="en-US"/>
        </w:rPr>
      </w:pPr>
    </w:p>
    <w:p w14:paraId="162825A1" w14:textId="3434CB6B" w:rsidR="0013560C" w:rsidRDefault="0013560C" w:rsidP="00933803">
      <w:pPr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Managers are not to directly approach or use agencies that are not approved without written endorsement from the Executive Director People and Culture. </w:t>
      </w:r>
    </w:p>
    <w:p w14:paraId="19121EC4" w14:textId="259014F4" w:rsidR="0013560C" w:rsidRDefault="0013560C" w:rsidP="00933803">
      <w:pPr>
        <w:pStyle w:val="AHPRADocumentsubheading"/>
        <w:spacing w:before="360"/>
      </w:pPr>
      <w:r>
        <w:t>Related documents</w:t>
      </w:r>
    </w:p>
    <w:p w14:paraId="34ADDDAE" w14:textId="2EB001BC" w:rsidR="00E03ADB" w:rsidRDefault="00E03ADB" w:rsidP="00933803">
      <w:pPr>
        <w:pStyle w:val="AHPRAbody"/>
        <w:numPr>
          <w:ilvl w:val="0"/>
          <w:numId w:val="18"/>
        </w:numPr>
        <w:spacing w:before="120" w:after="120"/>
        <w:ind w:left="720" w:hanging="360"/>
      </w:pPr>
      <w:r>
        <w:t xml:space="preserve">AHPRA </w:t>
      </w:r>
      <w:r w:rsidR="00681EBF">
        <w:t>e</w:t>
      </w:r>
      <w:r>
        <w:t xml:space="preserve">nterprise </w:t>
      </w:r>
      <w:r w:rsidR="00681EBF">
        <w:t>a</w:t>
      </w:r>
      <w:r>
        <w:t>greement</w:t>
      </w:r>
    </w:p>
    <w:p w14:paraId="53F8C2C6" w14:textId="64C00A6F" w:rsidR="00933803" w:rsidRDefault="00933803" w:rsidP="00933803">
      <w:pPr>
        <w:pStyle w:val="AHPRAbody"/>
        <w:numPr>
          <w:ilvl w:val="0"/>
          <w:numId w:val="18"/>
        </w:numPr>
        <w:spacing w:before="120" w:after="120"/>
        <w:ind w:left="720" w:hanging="360"/>
      </w:pPr>
      <w:r>
        <w:t xml:space="preserve">Capability </w:t>
      </w:r>
      <w:r w:rsidR="00681EBF">
        <w:t>f</w:t>
      </w:r>
      <w:r>
        <w:t xml:space="preserve">ramework </w:t>
      </w:r>
    </w:p>
    <w:p w14:paraId="41E4A118" w14:textId="4F020FEE" w:rsidR="0068684B" w:rsidRDefault="0013560C" w:rsidP="00933803">
      <w:pPr>
        <w:pStyle w:val="AHPRAbody"/>
        <w:numPr>
          <w:ilvl w:val="0"/>
          <w:numId w:val="18"/>
        </w:numPr>
        <w:spacing w:before="120" w:after="120"/>
        <w:ind w:left="720" w:hanging="360"/>
      </w:pPr>
      <w:r>
        <w:t xml:space="preserve">National </w:t>
      </w:r>
      <w:r w:rsidR="00681EBF">
        <w:t>c</w:t>
      </w:r>
      <w:r>
        <w:t xml:space="preserve">riminal </w:t>
      </w:r>
      <w:r w:rsidR="00681EBF">
        <w:t>h</w:t>
      </w:r>
      <w:r>
        <w:t xml:space="preserve">istory </w:t>
      </w:r>
      <w:r w:rsidR="00681EBF">
        <w:t>c</w:t>
      </w:r>
      <w:r>
        <w:t xml:space="preserve">heck </w:t>
      </w:r>
      <w:r w:rsidR="00681EBF">
        <w:t>p</w:t>
      </w:r>
      <w:r>
        <w:t>rocedure</w:t>
      </w:r>
    </w:p>
    <w:p w14:paraId="701900EB" w14:textId="53EE3B91" w:rsidR="0013560C" w:rsidRDefault="00424311" w:rsidP="00933803">
      <w:pPr>
        <w:pStyle w:val="AHPRAbody"/>
        <w:numPr>
          <w:ilvl w:val="0"/>
          <w:numId w:val="18"/>
        </w:numPr>
        <w:spacing w:before="120" w:after="120"/>
        <w:ind w:left="720" w:hanging="360"/>
      </w:pPr>
      <w:r>
        <w:t xml:space="preserve">Job </w:t>
      </w:r>
      <w:r w:rsidR="00681EBF">
        <w:t>m</w:t>
      </w:r>
      <w:r>
        <w:t xml:space="preserve">atching, </w:t>
      </w:r>
      <w:r w:rsidR="00681EBF">
        <w:t>r</w:t>
      </w:r>
      <w:r w:rsidR="0013560C">
        <w:t xml:space="preserve">edeployment </w:t>
      </w:r>
      <w:r>
        <w:t xml:space="preserve">and </w:t>
      </w:r>
      <w:r w:rsidR="00681EBF">
        <w:t>r</w:t>
      </w:r>
      <w:r>
        <w:t xml:space="preserve">edundancy </w:t>
      </w:r>
      <w:r w:rsidR="00681EBF">
        <w:t>p</w:t>
      </w:r>
      <w:r w:rsidR="0013560C">
        <w:t>olicy</w:t>
      </w:r>
    </w:p>
    <w:p w14:paraId="78650832" w14:textId="4FFCB327" w:rsidR="0013560C" w:rsidRDefault="00424311" w:rsidP="00933803">
      <w:pPr>
        <w:pStyle w:val="AHPRAbody"/>
        <w:numPr>
          <w:ilvl w:val="0"/>
          <w:numId w:val="18"/>
        </w:numPr>
        <w:spacing w:before="120" w:after="120"/>
        <w:ind w:left="720" w:hanging="360"/>
      </w:pPr>
      <w:r>
        <w:t xml:space="preserve">Health, </w:t>
      </w:r>
      <w:r w:rsidR="00681EBF">
        <w:t>s</w:t>
      </w:r>
      <w:r>
        <w:t xml:space="preserve">afety and </w:t>
      </w:r>
      <w:r w:rsidR="00681EBF">
        <w:t>w</w:t>
      </w:r>
      <w:r>
        <w:t xml:space="preserve">ellbeing </w:t>
      </w:r>
      <w:r w:rsidR="00681EBF">
        <w:t>p</w:t>
      </w:r>
      <w:r>
        <w:t>olicy</w:t>
      </w:r>
    </w:p>
    <w:p w14:paraId="45A4FA5E" w14:textId="24A7B2CF" w:rsidR="0013560C" w:rsidRDefault="0013560C" w:rsidP="00933803">
      <w:pPr>
        <w:pStyle w:val="AHPRAbody"/>
        <w:numPr>
          <w:ilvl w:val="0"/>
          <w:numId w:val="18"/>
        </w:numPr>
        <w:spacing w:before="120" w:after="120"/>
        <w:ind w:left="720" w:hanging="360"/>
      </w:pPr>
      <w:r>
        <w:t xml:space="preserve">HR </w:t>
      </w:r>
      <w:r w:rsidR="00681EBF">
        <w:t>d</w:t>
      </w:r>
      <w:r>
        <w:t>elegations</w:t>
      </w:r>
    </w:p>
    <w:p w14:paraId="74E245CE" w14:textId="050C66C9" w:rsidR="000D07E1" w:rsidRDefault="000D07E1" w:rsidP="00933803">
      <w:pPr>
        <w:pStyle w:val="AHPRAbody"/>
        <w:numPr>
          <w:ilvl w:val="0"/>
          <w:numId w:val="18"/>
        </w:numPr>
        <w:spacing w:before="120" w:after="120"/>
        <w:ind w:left="720" w:hanging="360"/>
      </w:pPr>
      <w:r>
        <w:t xml:space="preserve">Aboriginal and </w:t>
      </w:r>
      <w:r w:rsidR="00681EBF">
        <w:t>T</w:t>
      </w:r>
      <w:r>
        <w:t xml:space="preserve">orres Strait Islander </w:t>
      </w:r>
      <w:r w:rsidR="00681EBF">
        <w:t>p</w:t>
      </w:r>
      <w:r>
        <w:t xml:space="preserve">eoples </w:t>
      </w:r>
      <w:r w:rsidR="00681EBF">
        <w:t>e</w:t>
      </w:r>
      <w:r>
        <w:t xml:space="preserve">mployment </w:t>
      </w:r>
      <w:r w:rsidR="00681EBF">
        <w:t>s</w:t>
      </w:r>
      <w:r>
        <w:t>trategy</w:t>
      </w:r>
    </w:p>
    <w:p w14:paraId="46157EF7" w14:textId="0ACAB1FF" w:rsidR="0013560C" w:rsidRDefault="001D4AAA" w:rsidP="00933803">
      <w:pPr>
        <w:pStyle w:val="AHPRAbody"/>
        <w:numPr>
          <w:ilvl w:val="0"/>
          <w:numId w:val="18"/>
        </w:numPr>
        <w:spacing w:before="120" w:after="120"/>
        <w:ind w:left="720" w:hanging="360"/>
      </w:pPr>
      <w:r>
        <w:t xml:space="preserve">Relevant </w:t>
      </w:r>
      <w:r w:rsidR="00681EBF">
        <w:t>g</w:t>
      </w:r>
      <w:r>
        <w:t>uidelines</w:t>
      </w:r>
    </w:p>
    <w:p w14:paraId="7B04F852" w14:textId="77777777" w:rsidR="00F83054" w:rsidRDefault="00F83054" w:rsidP="00933803">
      <w:pPr>
        <w:pStyle w:val="AHPRADocumentsubheading"/>
        <w:spacing w:before="360"/>
      </w:pPr>
      <w:r>
        <w:t>Relevant legislation</w:t>
      </w:r>
    </w:p>
    <w:p w14:paraId="08B7637E" w14:textId="744B2F12" w:rsidR="004052D5" w:rsidRDefault="0013560C" w:rsidP="00933803">
      <w:pPr>
        <w:pStyle w:val="AHPRAbody"/>
        <w:spacing w:before="120" w:after="120"/>
      </w:pPr>
      <w:r>
        <w:t xml:space="preserve">See the </w:t>
      </w:r>
      <w:r w:rsidR="00681EBF">
        <w:t>p</w:t>
      </w:r>
      <w:r>
        <w:t xml:space="preserve">eople </w:t>
      </w:r>
      <w:r w:rsidR="00681EBF">
        <w:t>p</w:t>
      </w:r>
      <w:r>
        <w:t>olicy</w:t>
      </w:r>
    </w:p>
    <w:p w14:paraId="5650D95E" w14:textId="77777777" w:rsidR="00424311" w:rsidRDefault="00424311" w:rsidP="00933803">
      <w:pPr>
        <w:pStyle w:val="AHPRAbody"/>
        <w:spacing w:before="120" w:after="120"/>
      </w:pPr>
    </w:p>
    <w:p w14:paraId="7E709C6E" w14:textId="77777777" w:rsidR="004052D5" w:rsidRDefault="00EA7F92" w:rsidP="00933803">
      <w:pPr>
        <w:pStyle w:val="AHPRADocumentsubheading"/>
        <w:spacing w:before="360"/>
      </w:pPr>
      <w:r>
        <w:t>Definitions</w:t>
      </w:r>
    </w:p>
    <w:p w14:paraId="3A79DBDC" w14:textId="229DD192" w:rsidR="00EA7F92" w:rsidRPr="00EA7F92" w:rsidRDefault="0013560C" w:rsidP="00933803">
      <w:r>
        <w:t xml:space="preserve">To be read in conjunction with the </w:t>
      </w:r>
      <w:r w:rsidR="00681EBF">
        <w:t>p</w:t>
      </w:r>
      <w:r>
        <w:t xml:space="preserve">eople </w:t>
      </w:r>
      <w:r w:rsidR="00681EBF">
        <w:t>d</w:t>
      </w:r>
      <w:r>
        <w:t xml:space="preserve">efinitions document. </w:t>
      </w:r>
    </w:p>
    <w:p w14:paraId="6FF45D50" w14:textId="77777777" w:rsidR="00412BB3" w:rsidRDefault="00121608" w:rsidP="00933803">
      <w:pPr>
        <w:pStyle w:val="AHPRADocumentsubheading"/>
        <w:spacing w:before="360"/>
      </w:pPr>
      <w:r>
        <w:t>Document control</w:t>
      </w:r>
    </w:p>
    <w:tbl>
      <w:tblPr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09"/>
        <w:gridCol w:w="7191"/>
      </w:tblGrid>
      <w:tr w:rsidR="00E3211B" w:rsidRPr="00E3211B" w14:paraId="3E8E0E15" w14:textId="77777777" w:rsidTr="00D74047">
        <w:tc>
          <w:tcPr>
            <w:tcW w:w="2235" w:type="dxa"/>
          </w:tcPr>
          <w:p w14:paraId="0CACB077" w14:textId="77777777" w:rsidR="00E3211B" w:rsidRPr="00D74047" w:rsidRDefault="00A3473D" w:rsidP="00933803">
            <w:pPr>
              <w:spacing w:before="120" w:after="120"/>
              <w:rPr>
                <w:b/>
                <w:szCs w:val="20"/>
              </w:rPr>
            </w:pPr>
            <w:r>
              <w:rPr>
                <w:b/>
                <w:szCs w:val="20"/>
              </w:rPr>
              <w:t>Approver</w:t>
            </w:r>
          </w:p>
        </w:tc>
        <w:tc>
          <w:tcPr>
            <w:tcW w:w="7387" w:type="dxa"/>
          </w:tcPr>
          <w:p w14:paraId="57FA7602" w14:textId="51A3B7B5" w:rsidR="00E3211B" w:rsidRPr="00D74047" w:rsidRDefault="00085067" w:rsidP="00933803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Executive Director People and Culture</w:t>
            </w:r>
          </w:p>
        </w:tc>
      </w:tr>
      <w:tr w:rsidR="00816428" w:rsidRPr="00E3211B" w14:paraId="34E3642F" w14:textId="77777777" w:rsidTr="00D74047">
        <w:tc>
          <w:tcPr>
            <w:tcW w:w="2235" w:type="dxa"/>
          </w:tcPr>
          <w:p w14:paraId="6ABF0FEC" w14:textId="77777777" w:rsidR="00816428" w:rsidRPr="00D74047" w:rsidRDefault="00816428" w:rsidP="00933803">
            <w:pPr>
              <w:spacing w:before="120" w:after="120"/>
              <w:rPr>
                <w:b/>
                <w:szCs w:val="20"/>
              </w:rPr>
            </w:pPr>
            <w:r>
              <w:rPr>
                <w:b/>
                <w:szCs w:val="20"/>
              </w:rPr>
              <w:t>Policy Number</w:t>
            </w:r>
          </w:p>
        </w:tc>
        <w:tc>
          <w:tcPr>
            <w:tcW w:w="7387" w:type="dxa"/>
          </w:tcPr>
          <w:p w14:paraId="3ED2B7D6" w14:textId="0D67154E" w:rsidR="00816428" w:rsidRPr="00D74047" w:rsidRDefault="00424311" w:rsidP="00933803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PC004</w:t>
            </w:r>
          </w:p>
        </w:tc>
      </w:tr>
      <w:tr w:rsidR="00E3211B" w:rsidRPr="00E3211B" w14:paraId="26079E06" w14:textId="77777777" w:rsidTr="00D74047">
        <w:tc>
          <w:tcPr>
            <w:tcW w:w="2235" w:type="dxa"/>
          </w:tcPr>
          <w:p w14:paraId="128737F1" w14:textId="77777777" w:rsidR="00E3211B" w:rsidRPr="00D74047" w:rsidRDefault="00E3211B" w:rsidP="00933803">
            <w:pPr>
              <w:spacing w:before="120" w:after="120"/>
              <w:rPr>
                <w:b/>
                <w:szCs w:val="20"/>
              </w:rPr>
            </w:pPr>
            <w:r w:rsidRPr="00D74047">
              <w:rPr>
                <w:b/>
                <w:szCs w:val="20"/>
              </w:rPr>
              <w:t>Date Approved</w:t>
            </w:r>
          </w:p>
        </w:tc>
        <w:tc>
          <w:tcPr>
            <w:tcW w:w="7387" w:type="dxa"/>
          </w:tcPr>
          <w:p w14:paraId="6879DC5C" w14:textId="5310F96B" w:rsidR="00E3211B" w:rsidRPr="00D74047" w:rsidRDefault="00424311" w:rsidP="00933803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1 July 2019</w:t>
            </w:r>
          </w:p>
        </w:tc>
      </w:tr>
      <w:tr w:rsidR="00401CFC" w:rsidRPr="00E3211B" w14:paraId="3E3217DB" w14:textId="77777777" w:rsidTr="00D74047">
        <w:tc>
          <w:tcPr>
            <w:tcW w:w="2235" w:type="dxa"/>
          </w:tcPr>
          <w:p w14:paraId="0D46158A" w14:textId="77777777" w:rsidR="00401CFC" w:rsidRPr="00D74047" w:rsidRDefault="00401CFC" w:rsidP="00933803">
            <w:pPr>
              <w:spacing w:before="120" w:after="120"/>
              <w:rPr>
                <w:b/>
                <w:szCs w:val="20"/>
              </w:rPr>
            </w:pPr>
            <w:r w:rsidRPr="00D74047">
              <w:rPr>
                <w:b/>
                <w:szCs w:val="20"/>
              </w:rPr>
              <w:t>Date Commenced</w:t>
            </w:r>
          </w:p>
        </w:tc>
        <w:tc>
          <w:tcPr>
            <w:tcW w:w="7387" w:type="dxa"/>
          </w:tcPr>
          <w:p w14:paraId="54B4FBF0" w14:textId="71D318CA" w:rsidR="00401CFC" w:rsidRPr="00D74047" w:rsidRDefault="00424311" w:rsidP="00933803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1 July 2019</w:t>
            </w:r>
          </w:p>
        </w:tc>
      </w:tr>
      <w:tr w:rsidR="00E3211B" w:rsidRPr="00E3211B" w14:paraId="0FBD5438" w14:textId="77777777" w:rsidTr="00D74047">
        <w:tc>
          <w:tcPr>
            <w:tcW w:w="2235" w:type="dxa"/>
          </w:tcPr>
          <w:p w14:paraId="22C9F517" w14:textId="77777777" w:rsidR="00E3211B" w:rsidRPr="00D74047" w:rsidRDefault="00E3211B" w:rsidP="00933803">
            <w:pPr>
              <w:spacing w:before="120" w:after="120"/>
              <w:rPr>
                <w:b/>
                <w:szCs w:val="20"/>
              </w:rPr>
            </w:pPr>
            <w:r w:rsidRPr="00D74047">
              <w:rPr>
                <w:b/>
                <w:szCs w:val="20"/>
              </w:rPr>
              <w:t>Date for Review</w:t>
            </w:r>
          </w:p>
        </w:tc>
        <w:tc>
          <w:tcPr>
            <w:tcW w:w="7387" w:type="dxa"/>
          </w:tcPr>
          <w:p w14:paraId="38CC469A" w14:textId="0E471A65" w:rsidR="00E3211B" w:rsidRPr="00D74047" w:rsidRDefault="00424311" w:rsidP="00933803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1 July 2024</w:t>
            </w:r>
          </w:p>
        </w:tc>
      </w:tr>
      <w:tr w:rsidR="00E3211B" w:rsidRPr="00E3211B" w14:paraId="5A246A0C" w14:textId="77777777" w:rsidTr="00D74047">
        <w:tc>
          <w:tcPr>
            <w:tcW w:w="2235" w:type="dxa"/>
          </w:tcPr>
          <w:p w14:paraId="6D54ACC0" w14:textId="4FCD7EDD" w:rsidR="00E3211B" w:rsidRPr="00D74047" w:rsidRDefault="00DD52C0" w:rsidP="00933803">
            <w:pPr>
              <w:spacing w:before="120" w:after="120"/>
              <w:rPr>
                <w:b/>
                <w:szCs w:val="20"/>
              </w:rPr>
            </w:pPr>
            <w:r>
              <w:rPr>
                <w:b/>
                <w:szCs w:val="20"/>
              </w:rPr>
              <w:t>Policy Sponsor</w:t>
            </w:r>
          </w:p>
        </w:tc>
        <w:tc>
          <w:tcPr>
            <w:tcW w:w="7387" w:type="dxa"/>
          </w:tcPr>
          <w:p w14:paraId="64743BBB" w14:textId="78F81E3E" w:rsidR="00E3211B" w:rsidRPr="00D74047" w:rsidRDefault="00085067" w:rsidP="00933803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Executive Director People and Culture</w:t>
            </w:r>
          </w:p>
        </w:tc>
      </w:tr>
      <w:tr w:rsidR="00865B75" w:rsidRPr="00E3211B" w14:paraId="5C217F46" w14:textId="77777777" w:rsidTr="00D74047">
        <w:tc>
          <w:tcPr>
            <w:tcW w:w="2235" w:type="dxa"/>
          </w:tcPr>
          <w:p w14:paraId="42052487" w14:textId="77777777" w:rsidR="00865B75" w:rsidRDefault="00865B75" w:rsidP="00933803">
            <w:pPr>
              <w:spacing w:before="120" w:after="120"/>
              <w:rPr>
                <w:b/>
                <w:szCs w:val="20"/>
              </w:rPr>
            </w:pPr>
            <w:r>
              <w:rPr>
                <w:b/>
                <w:szCs w:val="20"/>
              </w:rPr>
              <w:t>Sections modified</w:t>
            </w:r>
          </w:p>
        </w:tc>
        <w:tc>
          <w:tcPr>
            <w:tcW w:w="7387" w:type="dxa"/>
          </w:tcPr>
          <w:p w14:paraId="5A572489" w14:textId="6B151545" w:rsidR="00865B75" w:rsidRDefault="00085067" w:rsidP="00933803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N/A</w:t>
            </w:r>
          </w:p>
        </w:tc>
      </w:tr>
    </w:tbl>
    <w:p w14:paraId="0C1C82AA" w14:textId="77777777" w:rsidR="00C9637B" w:rsidRDefault="00C9637B" w:rsidP="00933803">
      <w:pPr>
        <w:spacing w:after="0"/>
      </w:pPr>
    </w:p>
    <w:sectPr w:rsidR="00C9637B" w:rsidSect="00F355E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383" w:right="1247" w:bottom="992" w:left="1247" w:header="284" w:footer="6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1F1AE" w14:textId="77777777" w:rsidR="00DB283F" w:rsidRDefault="00DB283F" w:rsidP="00FC2881">
      <w:pPr>
        <w:spacing w:after="0"/>
      </w:pPr>
      <w:r>
        <w:separator/>
      </w:r>
    </w:p>
    <w:p w14:paraId="13517016" w14:textId="77777777" w:rsidR="00DB283F" w:rsidRDefault="00DB283F"/>
  </w:endnote>
  <w:endnote w:type="continuationSeparator" w:id="0">
    <w:p w14:paraId="2E06F6A0" w14:textId="77777777" w:rsidR="00DB283F" w:rsidRDefault="00DB283F" w:rsidP="00FC2881">
      <w:pPr>
        <w:spacing w:after="0"/>
      </w:pPr>
      <w:r>
        <w:continuationSeparator/>
      </w:r>
    </w:p>
    <w:p w14:paraId="5C301AE2" w14:textId="77777777" w:rsidR="00DB283F" w:rsidRDefault="00DB2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93C75" w14:textId="77777777" w:rsidR="009F71A4" w:rsidRDefault="00672A06" w:rsidP="00FC2881">
    <w:pPr>
      <w:pStyle w:val="AHPRAfootnote"/>
      <w:framePr w:wrap="around" w:vAnchor="text" w:hAnchor="margin" w:xAlign="right" w:y="1"/>
    </w:pPr>
    <w:r>
      <w:fldChar w:fldCharType="begin"/>
    </w:r>
    <w:r w:rsidR="009F71A4">
      <w:instrText xml:space="preserve">PAGE  </w:instrText>
    </w:r>
    <w:r>
      <w:fldChar w:fldCharType="end"/>
    </w:r>
  </w:p>
  <w:p w14:paraId="67D0FF49" w14:textId="77777777" w:rsidR="009F71A4" w:rsidRDefault="009F71A4" w:rsidP="00FC2881">
    <w:pPr>
      <w:pStyle w:val="AHPRAfootnote"/>
      <w:ind w:right="360"/>
    </w:pPr>
  </w:p>
  <w:p w14:paraId="57DE88DB" w14:textId="77777777" w:rsidR="009F71A4" w:rsidRDefault="009F71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B23FC" w14:textId="26B1D938" w:rsidR="009F71A4" w:rsidRDefault="00424311" w:rsidP="001506FE">
    <w:pPr>
      <w:pStyle w:val="AHPRAfooter"/>
      <w:rPr>
        <w:szCs w:val="16"/>
      </w:rPr>
    </w:pPr>
    <w:r>
      <w:rPr>
        <w:szCs w:val="16"/>
      </w:rPr>
      <w:t>Recruitment and Selection</w:t>
    </w:r>
    <w:r w:rsidR="009F71A4">
      <w:rPr>
        <w:szCs w:val="16"/>
      </w:rPr>
      <w:t xml:space="preserve"> Policy</w:t>
    </w:r>
  </w:p>
  <w:p w14:paraId="003038D1" w14:textId="0436A3A7" w:rsidR="009F71A4" w:rsidRPr="000E7E28" w:rsidRDefault="009F71A4" w:rsidP="000E7E28">
    <w:pPr>
      <w:pStyle w:val="AHPRApagenumber"/>
    </w:pPr>
    <w:r w:rsidRPr="000E7E28">
      <w:t xml:space="preserve">Page </w:t>
    </w:r>
    <w:r w:rsidR="00672A06">
      <w:fldChar w:fldCharType="begin"/>
    </w:r>
    <w:r w:rsidR="00A1441B">
      <w:instrText xml:space="preserve"> PAGE </w:instrText>
    </w:r>
    <w:r w:rsidR="00672A06">
      <w:fldChar w:fldCharType="separate"/>
    </w:r>
    <w:r w:rsidR="00933803">
      <w:rPr>
        <w:noProof/>
      </w:rPr>
      <w:t>2</w:t>
    </w:r>
    <w:r w:rsidR="00672A06">
      <w:rPr>
        <w:noProof/>
      </w:rPr>
      <w:fldChar w:fldCharType="end"/>
    </w:r>
    <w:r w:rsidRPr="000E7E28">
      <w:t xml:space="preserve"> of </w:t>
    </w:r>
    <w:r w:rsidR="00672A06">
      <w:fldChar w:fldCharType="begin"/>
    </w:r>
    <w:r w:rsidR="00A1441B">
      <w:instrText xml:space="preserve"> NUMPAGES  </w:instrText>
    </w:r>
    <w:r w:rsidR="00672A06">
      <w:fldChar w:fldCharType="separate"/>
    </w:r>
    <w:r w:rsidR="00933803">
      <w:rPr>
        <w:noProof/>
      </w:rPr>
      <w:t>5</w:t>
    </w:r>
    <w:r w:rsidR="00672A0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57E7" w14:textId="77777777" w:rsidR="009F71A4" w:rsidRPr="00E77E23" w:rsidRDefault="009F71A4" w:rsidP="00E77E23">
    <w:pPr>
      <w:pStyle w:val="AHPRAfirstpagefooter"/>
    </w:pPr>
    <w:r w:rsidRPr="00E77E23">
      <w:t xml:space="preserve">Australian </w:t>
    </w:r>
    <w:r w:rsidRPr="00E77E23">
      <w:rPr>
        <w:color w:val="007DC3"/>
      </w:rPr>
      <w:t>Health Practitioner</w:t>
    </w:r>
    <w:r w:rsidRPr="00E77E23">
      <w:t xml:space="preserve"> Regulation Agency</w:t>
    </w:r>
  </w:p>
  <w:p w14:paraId="282C0619" w14:textId="77777777" w:rsidR="009F71A4" w:rsidRDefault="009F71A4" w:rsidP="00E77E23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www.ahpra.gov.au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68844" w14:textId="77777777" w:rsidR="00DB283F" w:rsidRDefault="00DB283F" w:rsidP="000E7E28">
      <w:pPr>
        <w:spacing w:after="0"/>
      </w:pPr>
      <w:r>
        <w:separator/>
      </w:r>
    </w:p>
  </w:footnote>
  <w:footnote w:type="continuationSeparator" w:id="0">
    <w:p w14:paraId="7552E8BD" w14:textId="77777777" w:rsidR="00DB283F" w:rsidRDefault="00DB283F" w:rsidP="00FC2881">
      <w:pPr>
        <w:spacing w:after="0"/>
      </w:pPr>
      <w:r>
        <w:continuationSeparator/>
      </w:r>
    </w:p>
    <w:p w14:paraId="08B783CA" w14:textId="77777777" w:rsidR="00DB283F" w:rsidRDefault="00DB283F"/>
  </w:footnote>
  <w:footnote w:type="continuationNotice" w:id="1">
    <w:p w14:paraId="6A80C6F0" w14:textId="77777777" w:rsidR="00DB283F" w:rsidRDefault="00DB283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B4F8F" w14:textId="66947493" w:rsidR="00E03ADB" w:rsidRDefault="00E03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8ADD8" w14:textId="501773EE" w:rsidR="009F71A4" w:rsidRDefault="00424311" w:rsidP="009A2D1D">
    <w:pPr>
      <w:jc w:val="right"/>
    </w:pPr>
    <w:r>
      <w:rPr>
        <w:rFonts w:eastAsia="Times New Roman"/>
        <w:noProof/>
        <w:szCs w:val="20"/>
        <w:lang w:val="en" w:eastAsia="en-AU"/>
      </w:rPr>
      <w:drawing>
        <wp:inline distT="0" distB="0" distL="0" distR="0" wp14:anchorId="35320547" wp14:editId="79A7CD0E">
          <wp:extent cx="2768121" cy="126425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207" cy="1302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4CE"/>
    <w:multiLevelType w:val="multilevel"/>
    <w:tmpl w:val="A84ABC78"/>
    <w:lvl w:ilvl="0">
      <w:start w:val="1"/>
      <w:numFmt w:val="bullet"/>
      <w:lvlText w:val=""/>
      <w:lvlJc w:val="left"/>
      <w:pPr>
        <w:ind w:left="1164" w:hanging="444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ind w:left="14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32" w:hanging="1800"/>
      </w:pPr>
      <w:rPr>
        <w:rFonts w:hint="default"/>
      </w:rPr>
    </w:lvl>
  </w:abstractNum>
  <w:abstractNum w:abstractNumId="1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2" w15:restartNumberingAfterBreak="0">
    <w:nsid w:val="0B6A07BE"/>
    <w:multiLevelType w:val="multilevel"/>
    <w:tmpl w:val="B8E25B08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2165"/>
    <w:multiLevelType w:val="multilevel"/>
    <w:tmpl w:val="633C85DC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4" w15:restartNumberingAfterBreak="0">
    <w:nsid w:val="12531F78"/>
    <w:multiLevelType w:val="multilevel"/>
    <w:tmpl w:val="D402D346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21447561"/>
    <w:multiLevelType w:val="multilevel"/>
    <w:tmpl w:val="B8E25B08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A1308"/>
    <w:multiLevelType w:val="multilevel"/>
    <w:tmpl w:val="A84ABC78"/>
    <w:lvl w:ilvl="0">
      <w:start w:val="1"/>
      <w:numFmt w:val="bullet"/>
      <w:lvlText w:val=""/>
      <w:lvlJc w:val="left"/>
      <w:pPr>
        <w:ind w:left="1164" w:hanging="444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ind w:left="14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32" w:hanging="1800"/>
      </w:pPr>
      <w:rPr>
        <w:rFonts w:hint="default"/>
      </w:rPr>
    </w:lvl>
  </w:abstractNum>
  <w:abstractNum w:abstractNumId="7" w15:restartNumberingAfterBreak="0">
    <w:nsid w:val="300E3AE2"/>
    <w:multiLevelType w:val="hybridMultilevel"/>
    <w:tmpl w:val="7A00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70D4E"/>
    <w:multiLevelType w:val="multilevel"/>
    <w:tmpl w:val="A84ABC78"/>
    <w:lvl w:ilvl="0">
      <w:start w:val="1"/>
      <w:numFmt w:val="bullet"/>
      <w:lvlText w:val=""/>
      <w:lvlJc w:val="left"/>
      <w:pPr>
        <w:ind w:left="1164" w:hanging="444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ind w:left="14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32" w:hanging="1800"/>
      </w:pPr>
      <w:rPr>
        <w:rFonts w:hint="default"/>
      </w:rPr>
    </w:lvl>
  </w:abstractNum>
  <w:abstractNum w:abstractNumId="9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718E4"/>
    <w:multiLevelType w:val="multilevel"/>
    <w:tmpl w:val="B8E25B08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A5805"/>
    <w:multiLevelType w:val="multilevel"/>
    <w:tmpl w:val="16BED51A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5D34A0C"/>
    <w:multiLevelType w:val="multilevel"/>
    <w:tmpl w:val="A84ABC78"/>
    <w:lvl w:ilvl="0">
      <w:start w:val="1"/>
      <w:numFmt w:val="bullet"/>
      <w:lvlText w:val=""/>
      <w:lvlJc w:val="left"/>
      <w:pPr>
        <w:ind w:left="1164" w:hanging="444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ind w:left="14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32" w:hanging="1800"/>
      </w:pPr>
      <w:rPr>
        <w:rFonts w:hint="default"/>
      </w:rPr>
    </w:lvl>
  </w:abstractNum>
  <w:abstractNum w:abstractNumId="13" w15:restartNumberingAfterBreak="0">
    <w:nsid w:val="56DF73DA"/>
    <w:multiLevelType w:val="hybridMultilevel"/>
    <w:tmpl w:val="71CC2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04EB7"/>
    <w:multiLevelType w:val="multilevel"/>
    <w:tmpl w:val="633C85DC"/>
    <w:numStyleLink w:val="AHPRANumberedheadinglist"/>
  </w:abstractNum>
  <w:abstractNum w:abstractNumId="15" w15:restartNumberingAfterBreak="0">
    <w:nsid w:val="6ACC55E0"/>
    <w:multiLevelType w:val="hybridMultilevel"/>
    <w:tmpl w:val="C96835DA"/>
    <w:lvl w:ilvl="0" w:tplc="FE86F960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E8E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24E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D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4A81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42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1E8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2CDA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E8D8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4509B5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2610BB"/>
    <w:multiLevelType w:val="hybridMultilevel"/>
    <w:tmpl w:val="FF68D3AC"/>
    <w:lvl w:ilvl="0" w:tplc="F9B66836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36A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2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31660"/>
    <w:multiLevelType w:val="multilevel"/>
    <w:tmpl w:val="C4183F12"/>
    <w:numStyleLink w:val="AHPRANumberedlist"/>
  </w:abstractNum>
  <w:num w:numId="1">
    <w:abstractNumId w:val="15"/>
  </w:num>
  <w:num w:numId="2">
    <w:abstractNumId w:val="9"/>
  </w:num>
  <w:num w:numId="3">
    <w:abstractNumId w:val="1"/>
  </w:num>
  <w:num w:numId="4">
    <w:abstractNumId w:val="3"/>
  </w:num>
  <w:num w:numId="5">
    <w:abstractNumId w:val="17"/>
  </w:num>
  <w:num w:numId="6">
    <w:abstractNumId w:val="18"/>
  </w:num>
  <w:num w:numId="7">
    <w:abstractNumId w:val="13"/>
  </w:num>
  <w:num w:numId="8">
    <w:abstractNumId w:val="14"/>
  </w:num>
  <w:num w:numId="9">
    <w:abstractNumId w:val="16"/>
  </w:num>
  <w:num w:numId="10">
    <w:abstractNumId w:val="4"/>
  </w:num>
  <w:num w:numId="11">
    <w:abstractNumId w:val="11"/>
  </w:num>
  <w:num w:numId="12">
    <w:abstractNumId w:val="8"/>
  </w:num>
  <w:num w:numId="13">
    <w:abstractNumId w:val="10"/>
  </w:num>
  <w:num w:numId="14">
    <w:abstractNumId w:val="2"/>
  </w:num>
  <w:num w:numId="15">
    <w:abstractNumId w:val="5"/>
  </w:num>
  <w:num w:numId="16">
    <w:abstractNumId w:val="0"/>
  </w:num>
  <w:num w:numId="17">
    <w:abstractNumId w:val="6"/>
  </w:num>
  <w:num w:numId="18">
    <w:abstractNumId w:val="12"/>
  </w:num>
  <w:num w:numId="1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52"/>
    <w:rsid w:val="00000033"/>
    <w:rsid w:val="00002D80"/>
    <w:rsid w:val="00005A34"/>
    <w:rsid w:val="00006281"/>
    <w:rsid w:val="00006922"/>
    <w:rsid w:val="00006970"/>
    <w:rsid w:val="000109ED"/>
    <w:rsid w:val="00026CD9"/>
    <w:rsid w:val="00027081"/>
    <w:rsid w:val="000334D7"/>
    <w:rsid w:val="00036DC8"/>
    <w:rsid w:val="000426E1"/>
    <w:rsid w:val="00042B69"/>
    <w:rsid w:val="000512C0"/>
    <w:rsid w:val="00056460"/>
    <w:rsid w:val="000646BA"/>
    <w:rsid w:val="00071439"/>
    <w:rsid w:val="00085067"/>
    <w:rsid w:val="000945FB"/>
    <w:rsid w:val="00097116"/>
    <w:rsid w:val="000A1A46"/>
    <w:rsid w:val="000A6BF7"/>
    <w:rsid w:val="000B00EF"/>
    <w:rsid w:val="000C250C"/>
    <w:rsid w:val="000C2E1F"/>
    <w:rsid w:val="000C361F"/>
    <w:rsid w:val="000D07E1"/>
    <w:rsid w:val="000D47AA"/>
    <w:rsid w:val="000E476B"/>
    <w:rsid w:val="000E7E28"/>
    <w:rsid w:val="000F5D90"/>
    <w:rsid w:val="00100757"/>
    <w:rsid w:val="0010139F"/>
    <w:rsid w:val="00110A8F"/>
    <w:rsid w:val="00121608"/>
    <w:rsid w:val="001325BD"/>
    <w:rsid w:val="0013299E"/>
    <w:rsid w:val="00134738"/>
    <w:rsid w:val="0013560C"/>
    <w:rsid w:val="00140945"/>
    <w:rsid w:val="00143064"/>
    <w:rsid w:val="001435F3"/>
    <w:rsid w:val="00144DEF"/>
    <w:rsid w:val="001506FE"/>
    <w:rsid w:val="00152914"/>
    <w:rsid w:val="00153158"/>
    <w:rsid w:val="0016168A"/>
    <w:rsid w:val="00163AC2"/>
    <w:rsid w:val="00166E79"/>
    <w:rsid w:val="00172E9F"/>
    <w:rsid w:val="001845EB"/>
    <w:rsid w:val="00186887"/>
    <w:rsid w:val="0019270D"/>
    <w:rsid w:val="00194377"/>
    <w:rsid w:val="001A3DF1"/>
    <w:rsid w:val="001B0701"/>
    <w:rsid w:val="001B6AF4"/>
    <w:rsid w:val="001C1614"/>
    <w:rsid w:val="001C425C"/>
    <w:rsid w:val="001C5338"/>
    <w:rsid w:val="001D4AAA"/>
    <w:rsid w:val="001E1948"/>
    <w:rsid w:val="001E1E31"/>
    <w:rsid w:val="001E2849"/>
    <w:rsid w:val="001E453F"/>
    <w:rsid w:val="001E4A94"/>
    <w:rsid w:val="001E55BA"/>
    <w:rsid w:val="001E5621"/>
    <w:rsid w:val="001F2FF0"/>
    <w:rsid w:val="001F54C9"/>
    <w:rsid w:val="002008BC"/>
    <w:rsid w:val="0020535B"/>
    <w:rsid w:val="00220A3B"/>
    <w:rsid w:val="00224708"/>
    <w:rsid w:val="0022727D"/>
    <w:rsid w:val="0024132C"/>
    <w:rsid w:val="002708D6"/>
    <w:rsid w:val="00271D3D"/>
    <w:rsid w:val="00272D33"/>
    <w:rsid w:val="00275633"/>
    <w:rsid w:val="0027679A"/>
    <w:rsid w:val="0028013F"/>
    <w:rsid w:val="002844F2"/>
    <w:rsid w:val="00295B44"/>
    <w:rsid w:val="00295E7A"/>
    <w:rsid w:val="002975BA"/>
    <w:rsid w:val="002B2D48"/>
    <w:rsid w:val="002C08FB"/>
    <w:rsid w:val="002C34EA"/>
    <w:rsid w:val="002D0B21"/>
    <w:rsid w:val="002D59AE"/>
    <w:rsid w:val="002D7685"/>
    <w:rsid w:val="002E4FFA"/>
    <w:rsid w:val="002F1BFA"/>
    <w:rsid w:val="002F1D48"/>
    <w:rsid w:val="003036AC"/>
    <w:rsid w:val="00303BE1"/>
    <w:rsid w:val="00305AFC"/>
    <w:rsid w:val="00322A5F"/>
    <w:rsid w:val="00323E62"/>
    <w:rsid w:val="00332931"/>
    <w:rsid w:val="003354E4"/>
    <w:rsid w:val="00341611"/>
    <w:rsid w:val="00341CD9"/>
    <w:rsid w:val="00347224"/>
    <w:rsid w:val="00372D57"/>
    <w:rsid w:val="0037447E"/>
    <w:rsid w:val="00375506"/>
    <w:rsid w:val="003824DD"/>
    <w:rsid w:val="003830A0"/>
    <w:rsid w:val="003A11CD"/>
    <w:rsid w:val="003B02A0"/>
    <w:rsid w:val="003B1FBE"/>
    <w:rsid w:val="003B26EB"/>
    <w:rsid w:val="003B587E"/>
    <w:rsid w:val="003C3BD6"/>
    <w:rsid w:val="003C5875"/>
    <w:rsid w:val="003D3E85"/>
    <w:rsid w:val="003D6DBD"/>
    <w:rsid w:val="003E00B5"/>
    <w:rsid w:val="003E0484"/>
    <w:rsid w:val="003E2030"/>
    <w:rsid w:val="003E3268"/>
    <w:rsid w:val="003F2F06"/>
    <w:rsid w:val="003F60B2"/>
    <w:rsid w:val="003F6DEB"/>
    <w:rsid w:val="00401CFC"/>
    <w:rsid w:val="004052D5"/>
    <w:rsid w:val="00405C0A"/>
    <w:rsid w:val="00410AA4"/>
    <w:rsid w:val="00411292"/>
    <w:rsid w:val="00412BB3"/>
    <w:rsid w:val="004132EE"/>
    <w:rsid w:val="00414F2C"/>
    <w:rsid w:val="00422553"/>
    <w:rsid w:val="00424311"/>
    <w:rsid w:val="004261E9"/>
    <w:rsid w:val="00437CE5"/>
    <w:rsid w:val="00446E61"/>
    <w:rsid w:val="00450B34"/>
    <w:rsid w:val="00452214"/>
    <w:rsid w:val="004559BA"/>
    <w:rsid w:val="004606A7"/>
    <w:rsid w:val="00463385"/>
    <w:rsid w:val="00466B3C"/>
    <w:rsid w:val="0048406C"/>
    <w:rsid w:val="0048630D"/>
    <w:rsid w:val="004914FF"/>
    <w:rsid w:val="00493CBF"/>
    <w:rsid w:val="00494CD8"/>
    <w:rsid w:val="004A5E5D"/>
    <w:rsid w:val="004B09B3"/>
    <w:rsid w:val="004B0A05"/>
    <w:rsid w:val="004B4252"/>
    <w:rsid w:val="004B4C92"/>
    <w:rsid w:val="004B6E7A"/>
    <w:rsid w:val="004B747B"/>
    <w:rsid w:val="004C40D1"/>
    <w:rsid w:val="004D0D3B"/>
    <w:rsid w:val="004D21F1"/>
    <w:rsid w:val="004D4208"/>
    <w:rsid w:val="004D7537"/>
    <w:rsid w:val="004E33C2"/>
    <w:rsid w:val="004E3E30"/>
    <w:rsid w:val="004E3F5E"/>
    <w:rsid w:val="004E70CB"/>
    <w:rsid w:val="004F5C05"/>
    <w:rsid w:val="004F62CE"/>
    <w:rsid w:val="00513224"/>
    <w:rsid w:val="00513F24"/>
    <w:rsid w:val="005160E8"/>
    <w:rsid w:val="0051710C"/>
    <w:rsid w:val="00523941"/>
    <w:rsid w:val="005259C8"/>
    <w:rsid w:val="00530BD0"/>
    <w:rsid w:val="005323F3"/>
    <w:rsid w:val="0053749F"/>
    <w:rsid w:val="0054003A"/>
    <w:rsid w:val="00542C8D"/>
    <w:rsid w:val="00553A4C"/>
    <w:rsid w:val="00554335"/>
    <w:rsid w:val="005565CE"/>
    <w:rsid w:val="00563E4D"/>
    <w:rsid w:val="00564E39"/>
    <w:rsid w:val="0056686B"/>
    <w:rsid w:val="005708AE"/>
    <w:rsid w:val="00570BDC"/>
    <w:rsid w:val="005716E4"/>
    <w:rsid w:val="0057298F"/>
    <w:rsid w:val="00576C66"/>
    <w:rsid w:val="00581F16"/>
    <w:rsid w:val="005A0FA9"/>
    <w:rsid w:val="005A4AB2"/>
    <w:rsid w:val="005B17B2"/>
    <w:rsid w:val="005B2FA7"/>
    <w:rsid w:val="005C36A7"/>
    <w:rsid w:val="005C441B"/>
    <w:rsid w:val="005C5932"/>
    <w:rsid w:val="005C6817"/>
    <w:rsid w:val="005D0C08"/>
    <w:rsid w:val="005E6607"/>
    <w:rsid w:val="00600FA1"/>
    <w:rsid w:val="00606436"/>
    <w:rsid w:val="006145AA"/>
    <w:rsid w:val="00616043"/>
    <w:rsid w:val="00621187"/>
    <w:rsid w:val="00621B2C"/>
    <w:rsid w:val="00624F56"/>
    <w:rsid w:val="00631E40"/>
    <w:rsid w:val="00640783"/>
    <w:rsid w:val="00640B2C"/>
    <w:rsid w:val="006447C1"/>
    <w:rsid w:val="006450E1"/>
    <w:rsid w:val="00646CD0"/>
    <w:rsid w:val="006637DB"/>
    <w:rsid w:val="00667CAD"/>
    <w:rsid w:val="00672A06"/>
    <w:rsid w:val="006803D4"/>
    <w:rsid w:val="00681D5E"/>
    <w:rsid w:val="00681EBF"/>
    <w:rsid w:val="0068684B"/>
    <w:rsid w:val="006937C4"/>
    <w:rsid w:val="006B0697"/>
    <w:rsid w:val="006C00EA"/>
    <w:rsid w:val="006C0257"/>
    <w:rsid w:val="006C0E29"/>
    <w:rsid w:val="006D30FE"/>
    <w:rsid w:val="006D3757"/>
    <w:rsid w:val="006D42A3"/>
    <w:rsid w:val="006D7419"/>
    <w:rsid w:val="006E0DF8"/>
    <w:rsid w:val="006E66D6"/>
    <w:rsid w:val="006F29F0"/>
    <w:rsid w:val="006F7348"/>
    <w:rsid w:val="006F796D"/>
    <w:rsid w:val="0070155F"/>
    <w:rsid w:val="00704494"/>
    <w:rsid w:val="00711FFF"/>
    <w:rsid w:val="00716380"/>
    <w:rsid w:val="00720E5B"/>
    <w:rsid w:val="007301CB"/>
    <w:rsid w:val="007372A4"/>
    <w:rsid w:val="00741A58"/>
    <w:rsid w:val="00741B04"/>
    <w:rsid w:val="00751E59"/>
    <w:rsid w:val="007550C6"/>
    <w:rsid w:val="0076115C"/>
    <w:rsid w:val="00763D7B"/>
    <w:rsid w:val="007664F3"/>
    <w:rsid w:val="00776D09"/>
    <w:rsid w:val="0078309C"/>
    <w:rsid w:val="00787B73"/>
    <w:rsid w:val="0079197C"/>
    <w:rsid w:val="00794F38"/>
    <w:rsid w:val="007A35B9"/>
    <w:rsid w:val="007A448C"/>
    <w:rsid w:val="007B0956"/>
    <w:rsid w:val="007B5030"/>
    <w:rsid w:val="007B5BB3"/>
    <w:rsid w:val="007B7752"/>
    <w:rsid w:val="007B77D6"/>
    <w:rsid w:val="007C0B6E"/>
    <w:rsid w:val="007C456D"/>
    <w:rsid w:val="007C4F19"/>
    <w:rsid w:val="007C6B71"/>
    <w:rsid w:val="007D4836"/>
    <w:rsid w:val="007D4EA2"/>
    <w:rsid w:val="007E2C84"/>
    <w:rsid w:val="007E3545"/>
    <w:rsid w:val="007F0095"/>
    <w:rsid w:val="00802251"/>
    <w:rsid w:val="0080334C"/>
    <w:rsid w:val="00805128"/>
    <w:rsid w:val="00814469"/>
    <w:rsid w:val="00816428"/>
    <w:rsid w:val="00822DD2"/>
    <w:rsid w:val="008272C1"/>
    <w:rsid w:val="0083205F"/>
    <w:rsid w:val="008338F7"/>
    <w:rsid w:val="00836397"/>
    <w:rsid w:val="00845054"/>
    <w:rsid w:val="00852D1C"/>
    <w:rsid w:val="00856147"/>
    <w:rsid w:val="00856B5D"/>
    <w:rsid w:val="00860F40"/>
    <w:rsid w:val="008615C9"/>
    <w:rsid w:val="00864020"/>
    <w:rsid w:val="00865B75"/>
    <w:rsid w:val="00866801"/>
    <w:rsid w:val="00872545"/>
    <w:rsid w:val="00886573"/>
    <w:rsid w:val="00886776"/>
    <w:rsid w:val="00891D64"/>
    <w:rsid w:val="0089238A"/>
    <w:rsid w:val="008979D5"/>
    <w:rsid w:val="008A4C3B"/>
    <w:rsid w:val="008B2AD7"/>
    <w:rsid w:val="008B2BE2"/>
    <w:rsid w:val="008B3EC2"/>
    <w:rsid w:val="008B4940"/>
    <w:rsid w:val="008D6B7E"/>
    <w:rsid w:val="008D7845"/>
    <w:rsid w:val="008E634B"/>
    <w:rsid w:val="008F17B4"/>
    <w:rsid w:val="008F4E20"/>
    <w:rsid w:val="008F7365"/>
    <w:rsid w:val="00902685"/>
    <w:rsid w:val="00902E15"/>
    <w:rsid w:val="0090534C"/>
    <w:rsid w:val="00922D0D"/>
    <w:rsid w:val="009239CF"/>
    <w:rsid w:val="00923B23"/>
    <w:rsid w:val="009335E8"/>
    <w:rsid w:val="00933803"/>
    <w:rsid w:val="00936268"/>
    <w:rsid w:val="0093683B"/>
    <w:rsid w:val="00937275"/>
    <w:rsid w:val="0093772F"/>
    <w:rsid w:val="00937ED0"/>
    <w:rsid w:val="00945147"/>
    <w:rsid w:val="00952797"/>
    <w:rsid w:val="0095448E"/>
    <w:rsid w:val="0095497D"/>
    <w:rsid w:val="0095525F"/>
    <w:rsid w:val="009566B9"/>
    <w:rsid w:val="00970788"/>
    <w:rsid w:val="009777D3"/>
    <w:rsid w:val="00983058"/>
    <w:rsid w:val="009859E6"/>
    <w:rsid w:val="00987432"/>
    <w:rsid w:val="00996AC8"/>
    <w:rsid w:val="009973BC"/>
    <w:rsid w:val="009A0A5D"/>
    <w:rsid w:val="009A2D1D"/>
    <w:rsid w:val="009A568F"/>
    <w:rsid w:val="009B2E47"/>
    <w:rsid w:val="009C5DA2"/>
    <w:rsid w:val="009C6933"/>
    <w:rsid w:val="009D2EC6"/>
    <w:rsid w:val="009E3BBF"/>
    <w:rsid w:val="009E6C60"/>
    <w:rsid w:val="009F0789"/>
    <w:rsid w:val="009F186D"/>
    <w:rsid w:val="009F3FBC"/>
    <w:rsid w:val="009F71A4"/>
    <w:rsid w:val="00A04B26"/>
    <w:rsid w:val="00A04C7A"/>
    <w:rsid w:val="00A058E5"/>
    <w:rsid w:val="00A10C1A"/>
    <w:rsid w:val="00A1441B"/>
    <w:rsid w:val="00A17DA6"/>
    <w:rsid w:val="00A2072E"/>
    <w:rsid w:val="00A21310"/>
    <w:rsid w:val="00A237BB"/>
    <w:rsid w:val="00A268E6"/>
    <w:rsid w:val="00A3473D"/>
    <w:rsid w:val="00A37F39"/>
    <w:rsid w:val="00A42BE4"/>
    <w:rsid w:val="00A44DB7"/>
    <w:rsid w:val="00A509AB"/>
    <w:rsid w:val="00A5182D"/>
    <w:rsid w:val="00A5241D"/>
    <w:rsid w:val="00A6588B"/>
    <w:rsid w:val="00A82078"/>
    <w:rsid w:val="00A838C8"/>
    <w:rsid w:val="00A91C42"/>
    <w:rsid w:val="00A926A2"/>
    <w:rsid w:val="00A933F7"/>
    <w:rsid w:val="00A9516B"/>
    <w:rsid w:val="00A9780A"/>
    <w:rsid w:val="00AA00AF"/>
    <w:rsid w:val="00AA1BCB"/>
    <w:rsid w:val="00AA2FC9"/>
    <w:rsid w:val="00AA5B7C"/>
    <w:rsid w:val="00AB283D"/>
    <w:rsid w:val="00AC4690"/>
    <w:rsid w:val="00AC680C"/>
    <w:rsid w:val="00AD25AB"/>
    <w:rsid w:val="00AD312E"/>
    <w:rsid w:val="00AD33A9"/>
    <w:rsid w:val="00AE3EAF"/>
    <w:rsid w:val="00AF49CA"/>
    <w:rsid w:val="00B01F27"/>
    <w:rsid w:val="00B024B0"/>
    <w:rsid w:val="00B02CA7"/>
    <w:rsid w:val="00B0440A"/>
    <w:rsid w:val="00B13F26"/>
    <w:rsid w:val="00B171D5"/>
    <w:rsid w:val="00B25805"/>
    <w:rsid w:val="00B327E8"/>
    <w:rsid w:val="00B34EDA"/>
    <w:rsid w:val="00B43B61"/>
    <w:rsid w:val="00B51748"/>
    <w:rsid w:val="00B57198"/>
    <w:rsid w:val="00B60036"/>
    <w:rsid w:val="00B74265"/>
    <w:rsid w:val="00B82A08"/>
    <w:rsid w:val="00B8383E"/>
    <w:rsid w:val="00B85023"/>
    <w:rsid w:val="00BA2456"/>
    <w:rsid w:val="00BA469B"/>
    <w:rsid w:val="00BB4A5B"/>
    <w:rsid w:val="00BB4E62"/>
    <w:rsid w:val="00BC33DD"/>
    <w:rsid w:val="00BD3371"/>
    <w:rsid w:val="00BD7EC3"/>
    <w:rsid w:val="00BE1CF0"/>
    <w:rsid w:val="00BE4506"/>
    <w:rsid w:val="00BF1D6D"/>
    <w:rsid w:val="00BF2534"/>
    <w:rsid w:val="00BF79DC"/>
    <w:rsid w:val="00C000B0"/>
    <w:rsid w:val="00C06A85"/>
    <w:rsid w:val="00C10370"/>
    <w:rsid w:val="00C17F8A"/>
    <w:rsid w:val="00C21C53"/>
    <w:rsid w:val="00C21EDE"/>
    <w:rsid w:val="00C24385"/>
    <w:rsid w:val="00C25508"/>
    <w:rsid w:val="00C30297"/>
    <w:rsid w:val="00C31244"/>
    <w:rsid w:val="00C33B30"/>
    <w:rsid w:val="00C35DE1"/>
    <w:rsid w:val="00C3795C"/>
    <w:rsid w:val="00C4286A"/>
    <w:rsid w:val="00C51235"/>
    <w:rsid w:val="00C524AA"/>
    <w:rsid w:val="00C53065"/>
    <w:rsid w:val="00C54689"/>
    <w:rsid w:val="00C56909"/>
    <w:rsid w:val="00C75D6C"/>
    <w:rsid w:val="00C7648D"/>
    <w:rsid w:val="00C81B3A"/>
    <w:rsid w:val="00C93735"/>
    <w:rsid w:val="00C9637B"/>
    <w:rsid w:val="00CA12BC"/>
    <w:rsid w:val="00CA15E9"/>
    <w:rsid w:val="00CA4EE0"/>
    <w:rsid w:val="00CB2BB3"/>
    <w:rsid w:val="00CB4B3C"/>
    <w:rsid w:val="00CB58ED"/>
    <w:rsid w:val="00CB6C08"/>
    <w:rsid w:val="00CC3DA6"/>
    <w:rsid w:val="00CD0C2E"/>
    <w:rsid w:val="00CD0DCA"/>
    <w:rsid w:val="00CD45CB"/>
    <w:rsid w:val="00CF0FCD"/>
    <w:rsid w:val="00CF4445"/>
    <w:rsid w:val="00D03A1D"/>
    <w:rsid w:val="00D12F61"/>
    <w:rsid w:val="00D201C6"/>
    <w:rsid w:val="00D2337B"/>
    <w:rsid w:val="00D37F43"/>
    <w:rsid w:val="00D638E0"/>
    <w:rsid w:val="00D64665"/>
    <w:rsid w:val="00D716BA"/>
    <w:rsid w:val="00D74047"/>
    <w:rsid w:val="00D75DC4"/>
    <w:rsid w:val="00D77EFD"/>
    <w:rsid w:val="00D80B64"/>
    <w:rsid w:val="00D826DF"/>
    <w:rsid w:val="00D8404D"/>
    <w:rsid w:val="00D8602F"/>
    <w:rsid w:val="00D87F86"/>
    <w:rsid w:val="00D947F1"/>
    <w:rsid w:val="00DA2B57"/>
    <w:rsid w:val="00DA7178"/>
    <w:rsid w:val="00DB283F"/>
    <w:rsid w:val="00DC2952"/>
    <w:rsid w:val="00DC6072"/>
    <w:rsid w:val="00DC6C5E"/>
    <w:rsid w:val="00DC71A9"/>
    <w:rsid w:val="00DD52C0"/>
    <w:rsid w:val="00DE4408"/>
    <w:rsid w:val="00DF1AB7"/>
    <w:rsid w:val="00E03ADB"/>
    <w:rsid w:val="00E07C02"/>
    <w:rsid w:val="00E12B06"/>
    <w:rsid w:val="00E15BF6"/>
    <w:rsid w:val="00E24DEB"/>
    <w:rsid w:val="00E3211B"/>
    <w:rsid w:val="00E34316"/>
    <w:rsid w:val="00E46062"/>
    <w:rsid w:val="00E47403"/>
    <w:rsid w:val="00E55530"/>
    <w:rsid w:val="00E578CD"/>
    <w:rsid w:val="00E71CB9"/>
    <w:rsid w:val="00E73698"/>
    <w:rsid w:val="00E757A5"/>
    <w:rsid w:val="00E76EDC"/>
    <w:rsid w:val="00E77E23"/>
    <w:rsid w:val="00E81633"/>
    <w:rsid w:val="00E8251C"/>
    <w:rsid w:val="00E844A0"/>
    <w:rsid w:val="00EA7F92"/>
    <w:rsid w:val="00EC06EC"/>
    <w:rsid w:val="00EC687A"/>
    <w:rsid w:val="00ED0F6F"/>
    <w:rsid w:val="00EE2EBF"/>
    <w:rsid w:val="00EF394F"/>
    <w:rsid w:val="00F02D80"/>
    <w:rsid w:val="00F077C6"/>
    <w:rsid w:val="00F13ED2"/>
    <w:rsid w:val="00F16ED5"/>
    <w:rsid w:val="00F27ACB"/>
    <w:rsid w:val="00F319D9"/>
    <w:rsid w:val="00F355E8"/>
    <w:rsid w:val="00F3616F"/>
    <w:rsid w:val="00F4550D"/>
    <w:rsid w:val="00F646C1"/>
    <w:rsid w:val="00F6618F"/>
    <w:rsid w:val="00F70DD5"/>
    <w:rsid w:val="00F73165"/>
    <w:rsid w:val="00F83054"/>
    <w:rsid w:val="00F83786"/>
    <w:rsid w:val="00F86321"/>
    <w:rsid w:val="00F8732A"/>
    <w:rsid w:val="00F90BCE"/>
    <w:rsid w:val="00F975CF"/>
    <w:rsid w:val="00FA3891"/>
    <w:rsid w:val="00FA5660"/>
    <w:rsid w:val="00FB132D"/>
    <w:rsid w:val="00FB2285"/>
    <w:rsid w:val="00FB2578"/>
    <w:rsid w:val="00FB3FCF"/>
    <w:rsid w:val="00FC2881"/>
    <w:rsid w:val="00FC323C"/>
    <w:rsid w:val="00FC4D0B"/>
    <w:rsid w:val="00FD034D"/>
    <w:rsid w:val="00FD099B"/>
    <w:rsid w:val="00FD4D79"/>
    <w:rsid w:val="00FD7DC1"/>
    <w:rsid w:val="00FE0F08"/>
    <w:rsid w:val="00FE2390"/>
    <w:rsid w:val="00FE72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8B411A"/>
  <w15:docId w15:val="{A5F2E1C7-6A93-431A-8FB4-7EE261F1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mbria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2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unhideWhenUsed/>
    <w:rsid w:val="00D74047"/>
    <w:pPr>
      <w:spacing w:after="200"/>
    </w:pPr>
    <w:rPr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Complextableheadings">
    <w:name w:val="AHPRA Complex table headings"/>
    <w:basedOn w:val="AHPRAtableheading"/>
    <w:uiPriority w:val="1"/>
    <w:rsid w:val="0037447E"/>
    <w:rPr>
      <w:color w:val="FFFFFF"/>
    </w:rPr>
  </w:style>
  <w:style w:type="paragraph" w:customStyle="1" w:styleId="AHPRAComplextablerowheaders">
    <w:name w:val="AHPRA Complex table row headers"/>
    <w:basedOn w:val="AHPRAtabletext"/>
    <w:uiPriority w:val="1"/>
    <w:rsid w:val="0037447E"/>
    <w:pPr>
      <w:spacing w:before="120" w:after="120"/>
    </w:pPr>
    <w:rPr>
      <w:color w:val="FFFFFF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spacing w:after="0"/>
      <w:ind w:left="369" w:hanging="369"/>
    </w:pPr>
  </w:style>
  <w:style w:type="paragraph" w:customStyle="1" w:styleId="AHPRABulletlevel2">
    <w:name w:val="AHPRA Bullet level 2"/>
    <w:basedOn w:val="AHPRABulletlevel1"/>
    <w:rsid w:val="0079197C"/>
    <w:pPr>
      <w:numPr>
        <w:numId w:val="5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8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37447E"/>
    <w:pPr>
      <w:ind w:left="240"/>
    </w:p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79197C"/>
    <w:pPr>
      <w:numPr>
        <w:numId w:val="6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1"/>
    <w:semiHidden/>
    <w:unhideWhenUsed/>
    <w:rsid w:val="0037447E"/>
    <w:pPr>
      <w:spacing w:after="100"/>
      <w:ind w:left="720"/>
    </w:pPr>
  </w:style>
  <w:style w:type="character" w:styleId="CommentReference">
    <w:name w:val="annotation reference"/>
    <w:basedOn w:val="DefaultParagraphFont"/>
    <w:uiPriority w:val="1"/>
    <w:semiHidden/>
    <w:unhideWhenUsed/>
    <w:rsid w:val="007B5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7B503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7B50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7B5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7B5030"/>
    <w:rPr>
      <w:b/>
      <w:bCs/>
      <w:lang w:eastAsia="en-US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624F5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624F56"/>
    <w:rPr>
      <w:lang w:eastAsia="en-US"/>
    </w:rPr>
  </w:style>
  <w:style w:type="character" w:styleId="EndnoteReference">
    <w:name w:val="endnote reference"/>
    <w:basedOn w:val="DefaultParagraphFont"/>
    <w:uiPriority w:val="1"/>
    <w:semiHidden/>
    <w:unhideWhenUsed/>
    <w:rsid w:val="00624F56"/>
    <w:rPr>
      <w:vertAlign w:val="superscript"/>
    </w:rPr>
  </w:style>
  <w:style w:type="character" w:styleId="FollowedHyperlink">
    <w:name w:val="FollowedHyperlink"/>
    <w:basedOn w:val="DefaultParagraphFont"/>
    <w:uiPriority w:val="1"/>
    <w:semiHidden/>
    <w:unhideWhenUsed/>
    <w:rsid w:val="00FE2390"/>
    <w:rPr>
      <w:color w:val="800080"/>
      <w:u w:val="single"/>
    </w:rPr>
  </w:style>
  <w:style w:type="paragraph" w:styleId="ListParagraph">
    <w:name w:val="List Paragraph"/>
    <w:basedOn w:val="Normal"/>
    <w:uiPriority w:val="34"/>
    <w:unhideWhenUsed/>
    <w:qFormat/>
    <w:rsid w:val="00AD25AB"/>
    <w:pPr>
      <w:ind w:left="720"/>
    </w:pPr>
  </w:style>
  <w:style w:type="paragraph" w:styleId="Footer">
    <w:name w:val="footer"/>
    <w:basedOn w:val="Normal"/>
    <w:link w:val="FooterChar"/>
    <w:unhideWhenUsed/>
    <w:rsid w:val="0057298F"/>
    <w:pPr>
      <w:tabs>
        <w:tab w:val="center" w:pos="4320"/>
        <w:tab w:val="right" w:pos="8640"/>
      </w:tabs>
      <w:spacing w:after="0"/>
    </w:pPr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57298F"/>
    <w:rPr>
      <w:sz w:val="24"/>
      <w:szCs w:val="24"/>
      <w:lang w:val="en-US" w:eastAsia="en-US"/>
    </w:rPr>
  </w:style>
  <w:style w:type="paragraph" w:customStyle="1" w:styleId="Default">
    <w:name w:val="Default"/>
    <w:rsid w:val="004F62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paragraph" w:styleId="Revision">
    <w:name w:val="Revision"/>
    <w:hidden/>
    <w:rsid w:val="00E55530"/>
    <w:rPr>
      <w:szCs w:val="24"/>
      <w:lang w:eastAsia="en-US"/>
    </w:rPr>
  </w:style>
  <w:style w:type="numbering" w:customStyle="1" w:styleId="Style1">
    <w:name w:val="Style1"/>
    <w:uiPriority w:val="99"/>
    <w:rsid w:val="00C9373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86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6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4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1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61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6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eade\AppData\Local\Microsoft\Windows\Temporary%20Internet%20Files\Content.IE5\WD29048S\Long-docume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8F43DD7BC984BA9F6CE3743946C00" ma:contentTypeVersion="4" ma:contentTypeDescription="Create a new document." ma:contentTypeScope="" ma:versionID="dd6d5a1c7be655f52172f3c4089cff48">
  <xsd:schema xmlns:xsd="http://www.w3.org/2001/XMLSchema" xmlns:xs="http://www.w3.org/2001/XMLSchema" xmlns:p="http://schemas.microsoft.com/office/2006/metadata/properties" xmlns:ns2="340e5ab7-c16f-4a8f-b39e-00b676c3e7a0" xmlns:ns3="f9db012c-47aa-4ece-89b2-cfaac7d0b487" targetNamespace="http://schemas.microsoft.com/office/2006/metadata/properties" ma:root="true" ma:fieldsID="e62d802e5a535c6109bcab81f9a8a8a0" ns2:_="" ns3:_="">
    <xsd:import namespace="340e5ab7-c16f-4a8f-b39e-00b676c3e7a0"/>
    <xsd:import namespace="f9db012c-47aa-4ece-89b2-cfaac7d0b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e5ab7-c16f-4a8f-b39e-00b676c3e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b012c-47aa-4ece-89b2-cfaac7d0b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44917-A0CB-4BD0-9944-2076108B4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e5ab7-c16f-4a8f-b39e-00b676c3e7a0"/>
    <ds:schemaRef ds:uri="f9db012c-47aa-4ece-89b2-cfaac7d0b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0FBD2-7238-408E-B492-DDE17F3ED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497A2-CC80-48F8-AD5A-9B23464AF8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365538-5C38-4048-9B48-447F0CFC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Long-document-template</Template>
  <TotalTime>3</TotalTime>
  <Pages>5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policy PC004</vt:lpstr>
    </vt:vector>
  </TitlesOfParts>
  <Company/>
  <LinksUpToDate>false</LinksUpToDate>
  <CharactersWithSpaces>10487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policy PC004</dc:title>
  <dc:subject>Policy</dc:subject>
  <dc:creator>Ahpra</dc:creator>
  <cp:lastModifiedBy>Fumi Goto</cp:lastModifiedBy>
  <cp:revision>2</cp:revision>
  <cp:lastPrinted>2017-11-02T19:06:00Z</cp:lastPrinted>
  <dcterms:created xsi:type="dcterms:W3CDTF">2020-10-25T23:12:00Z</dcterms:created>
  <dcterms:modified xsi:type="dcterms:W3CDTF">2020-10-25T23:12:00Z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0x0101009C48F43DD7BC984BA9F6CE3743946C00</vt:lpwstr>
  </property>
</Properties>
</file>