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bookmarkStart w:id="0" w:name="_GoBack"/>
      <w:bookmarkEnd w:id="0"/>
      <w:r w:rsidRPr="002C6D22">
        <w:rPr>
          <w:color w:val="00BCE4"/>
          <w:sz w:val="44"/>
        </w:rPr>
        <w:t>Health Profession Agreement</w:t>
      </w:r>
    </w:p>
    <w:p w:rsidR="00C76025" w:rsidRPr="002C6D22" w:rsidRDefault="008E4013" w:rsidP="00C250F4">
      <w:pPr>
        <w:pStyle w:val="AHPRADocumentsubheading"/>
        <w:spacing w:after="640"/>
        <w:jc w:val="center"/>
        <w:rPr>
          <w:sz w:val="44"/>
        </w:rPr>
      </w:pPr>
      <w:r>
        <w:rPr>
          <w:sz w:val="44"/>
        </w:rPr>
        <w:t>Chinese Medicine</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r w:rsidRPr="002C6D22">
        <w:rPr>
          <w:sz w:val="44"/>
        </w:rPr>
        <w:t>and</w:t>
      </w:r>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lastRenderedPageBreak/>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headerReference w:type="even" r:id="rId8"/>
          <w:footerReference w:type="default" r:id="rId9"/>
          <w:headerReference w:type="first" r:id="rId10"/>
          <w:footerReference w:type="first" r:id="rId11"/>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8E4013">
        <w:rPr>
          <w:b/>
          <w:sz w:val="20"/>
        </w:rPr>
        <w:t>Chinese Medicine</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4877F0" w:rsidP="000F5D90">
            <w:pPr>
              <w:tabs>
                <w:tab w:val="left" w:pos="5678"/>
              </w:tabs>
              <w:rPr>
                <w:sz w:val="20"/>
              </w:rPr>
            </w:pPr>
            <w:r>
              <w:rPr>
                <w:noProof/>
                <w:sz w:val="20"/>
                <w:lang w:eastAsia="en-AU"/>
              </w:rPr>
              <w:pict>
                <v:shapetype id="_x0000_t202" coordsize="21600,21600" o:spt="202" path="m,l,21600r21600,l21600,xe">
                  <v:stroke joinstyle="miter"/>
                  <v:path gradientshapeok="t" o:connecttype="rect"/>
                </v:shapetype>
                <v:shape id="_x0000_s1026" type="#_x0000_t202" style="position:absolute;margin-left:15.85pt;margin-top:33.95pt;width:120.45pt;height:32.5pt;z-index:251658240">
                  <v:stroke dashstyle="longDash"/>
                  <v:textbox>
                    <w:txbxContent>
                      <w:p w:rsidR="00AB23E8" w:rsidRPr="00AB23E8" w:rsidRDefault="00AB23E8">
                        <w:pPr>
                          <w:rPr>
                            <w:i/>
                            <w:sz w:val="20"/>
                          </w:rPr>
                        </w:pPr>
                        <w:r w:rsidRPr="00AB23E8">
                          <w:rPr>
                            <w:i/>
                            <w:sz w:val="20"/>
                          </w:rPr>
                          <w:t>Signed copy on file</w:t>
                        </w:r>
                      </w:p>
                    </w:txbxContent>
                  </v:textbox>
                </v:shape>
              </w:pict>
            </w:r>
            <w:r w:rsidR="00E842D6">
              <w:rPr>
                <w:sz w:val="20"/>
              </w:rPr>
              <w:t>Signed for and on behalf of AHPRA by:</w:t>
            </w:r>
          </w:p>
        </w:tc>
        <w:tc>
          <w:tcPr>
            <w:tcW w:w="4618" w:type="dxa"/>
            <w:tcBorders>
              <w:bottom w:val="nil"/>
            </w:tcBorders>
          </w:tcPr>
          <w:p w:rsidR="00E842D6" w:rsidRDefault="004877F0" w:rsidP="00607E8C">
            <w:pPr>
              <w:tabs>
                <w:tab w:val="left" w:pos="5678"/>
              </w:tabs>
              <w:rPr>
                <w:sz w:val="20"/>
              </w:rPr>
            </w:pPr>
            <w:r>
              <w:rPr>
                <w:noProof/>
                <w:sz w:val="20"/>
                <w:lang w:eastAsia="en-AU"/>
              </w:rPr>
              <w:pict>
                <v:shape id="_x0000_s1027" type="#_x0000_t202" style="position:absolute;margin-left:16.05pt;margin-top:34.05pt;width:120.45pt;height:32.5pt;z-index:251659264;mso-position-horizontal-relative:text;mso-position-vertical-relative:text">
                  <v:stroke dashstyle="longDash"/>
                  <v:textbox>
                    <w:txbxContent>
                      <w:p w:rsidR="00AB23E8" w:rsidRPr="00AB23E8" w:rsidRDefault="00AB23E8" w:rsidP="00AB23E8">
                        <w:pPr>
                          <w:rPr>
                            <w:i/>
                            <w:sz w:val="20"/>
                          </w:rPr>
                        </w:pPr>
                        <w:r w:rsidRPr="00AB23E8">
                          <w:rPr>
                            <w:i/>
                            <w:sz w:val="20"/>
                          </w:rPr>
                          <w:t>Signed copy on file</w:t>
                        </w:r>
                      </w:p>
                    </w:txbxContent>
                  </v:textbox>
                </v:shape>
              </w:pict>
            </w:r>
            <w:r w:rsidR="00E842D6">
              <w:rPr>
                <w:sz w:val="20"/>
              </w:rPr>
              <w:t>Signed for an</w:t>
            </w:r>
            <w:r w:rsidR="004A2393">
              <w:rPr>
                <w:sz w:val="20"/>
              </w:rPr>
              <w:t xml:space="preserve">d on behalf of the </w:t>
            </w:r>
            <w:r w:rsidR="008E4013">
              <w:rPr>
                <w:sz w:val="20"/>
              </w:rPr>
              <w:t>Chinese Medicine</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026B08">
            <w:pPr>
              <w:tabs>
                <w:tab w:val="left" w:pos="5678"/>
              </w:tabs>
              <w:rPr>
                <w:sz w:val="20"/>
              </w:rPr>
            </w:pPr>
            <w:r>
              <w:rPr>
                <w:sz w:val="20"/>
              </w:rPr>
              <w:t xml:space="preserve">Signature of the </w:t>
            </w:r>
            <w:r w:rsidR="00026B08">
              <w:rPr>
                <w:sz w:val="20"/>
              </w:rPr>
              <w:t>Board Chair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Pr="00026B08" w:rsidRDefault="00943212" w:rsidP="00C009AD">
            <w:pPr>
              <w:tabs>
                <w:tab w:val="left" w:pos="5678"/>
              </w:tabs>
              <w:rPr>
                <w:sz w:val="20"/>
              </w:rPr>
            </w:pPr>
            <w:r>
              <w:rPr>
                <w:bCs/>
                <w:sz w:val="20"/>
              </w:rPr>
              <w:t>Professor Charlie Xue</w:t>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r w:rsidR="00AB23E8">
              <w:rPr>
                <w:sz w:val="20"/>
              </w:rPr>
              <w:t>: 4 September 2015</w:t>
            </w:r>
          </w:p>
        </w:tc>
        <w:tc>
          <w:tcPr>
            <w:tcW w:w="4618" w:type="dxa"/>
            <w:tcBorders>
              <w:top w:val="nil"/>
            </w:tcBorders>
          </w:tcPr>
          <w:p w:rsidR="00E842D6" w:rsidRDefault="004A2393" w:rsidP="000F5D90">
            <w:pPr>
              <w:tabs>
                <w:tab w:val="left" w:pos="5678"/>
              </w:tabs>
              <w:rPr>
                <w:sz w:val="20"/>
              </w:rPr>
            </w:pPr>
            <w:r>
              <w:rPr>
                <w:sz w:val="20"/>
              </w:rPr>
              <w:t>Date</w:t>
            </w:r>
            <w:r w:rsidR="00AB23E8">
              <w:rPr>
                <w:sz w:val="20"/>
              </w:rPr>
              <w:t>: 3 September 2015</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C009AD">
        <w:tc>
          <w:tcPr>
            <w:tcW w:w="3750" w:type="pct"/>
            <w:shd w:val="clear" w:color="auto" w:fill="007DC3"/>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2955CE" w:rsidRDefault="00693679" w:rsidP="00FA230B">
            <w:pPr>
              <w:spacing w:before="120" w:after="120"/>
              <w:ind w:left="720" w:hanging="720"/>
              <w:rPr>
                <w:rFonts w:cs="Arial"/>
                <w:color w:val="4D4D4F"/>
                <w:sz w:val="20"/>
                <w:szCs w:val="20"/>
              </w:rPr>
            </w:pPr>
            <w:r w:rsidRPr="002955CE">
              <w:rPr>
                <w:rFonts w:cs="Arial"/>
                <w:sz w:val="20"/>
                <w:szCs w:val="20"/>
              </w:rPr>
              <w:t xml:space="preserve">1.2.3 </w:t>
            </w:r>
            <w:r w:rsidR="002955CE">
              <w:rPr>
                <w:rFonts w:cs="Arial"/>
                <w:sz w:val="20"/>
                <w:szCs w:val="20"/>
              </w:rPr>
              <w:tab/>
            </w:r>
            <w:r w:rsidR="0037245D" w:rsidRPr="002955CE">
              <w:rPr>
                <w:rFonts w:cs="Arial"/>
                <w:color w:val="4D4D4F"/>
                <w:sz w:val="20"/>
                <w:szCs w:val="20"/>
              </w:rPr>
              <w:t>Establish and maintain relationships</w:t>
            </w:r>
            <w:r w:rsidRPr="002955CE">
              <w:rPr>
                <w:rFonts w:cs="Arial"/>
                <w:color w:val="4D4D4F"/>
                <w:sz w:val="20"/>
                <w:szCs w:val="20"/>
              </w:rPr>
              <w:t xml:space="preserve"> with </w:t>
            </w:r>
            <w:r w:rsidR="0037245D" w:rsidRPr="002955CE">
              <w:rPr>
                <w:rFonts w:cs="Arial"/>
                <w:color w:val="4D4D4F"/>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lastRenderedPageBreak/>
              <w:t xml:space="preserve">1.4  </w:t>
            </w:r>
            <w:r w:rsidR="002955CE">
              <w:rPr>
                <w:szCs w:val="20"/>
              </w:rPr>
              <w:tab/>
            </w:r>
            <w:r w:rsidRPr="003D1528">
              <w:rPr>
                <w:szCs w:val="20"/>
              </w:rPr>
              <w:t>Legal Services</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the National Board’s regulatory work plan </w:t>
            </w:r>
            <w:r w:rsidRPr="003D1528">
              <w:rPr>
                <w:i/>
                <w:sz w:val="20"/>
                <w:szCs w:val="20"/>
              </w:rPr>
              <w:lastRenderedPageBreak/>
              <w:t>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lastRenderedPageBreak/>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C009AD">
        <w:tc>
          <w:tcPr>
            <w:tcW w:w="3781"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lastRenderedPageBreak/>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Provides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 xml:space="preserve">Assist National Boards to define and articulate regulatory </w:t>
            </w:r>
            <w:r w:rsidRPr="002955CE">
              <w:rPr>
                <w:rFonts w:cs="Arial"/>
                <w:sz w:val="20"/>
                <w:szCs w:val="20"/>
              </w:rPr>
              <w:lastRenderedPageBreak/>
              <w:t>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lastRenderedPageBreak/>
              <w:t xml:space="preserve">Profession-specific </w:t>
            </w:r>
            <w:r w:rsidRPr="003D1528">
              <w:rPr>
                <w:i/>
                <w:sz w:val="20"/>
                <w:szCs w:val="20"/>
              </w:rPr>
              <w:lastRenderedPageBreak/>
              <w:t>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C009AD">
        <w:tc>
          <w:tcPr>
            <w:tcW w:w="3750" w:type="pct"/>
            <w:shd w:val="clear" w:color="auto" w:fill="007DC3"/>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6C0A5C">
        <w:lastRenderedPageBreak/>
        <w:t xml:space="preserve">Schedule 2: </w:t>
      </w:r>
      <w:r w:rsidR="00020093" w:rsidRPr="006C0A5C">
        <w:t xml:space="preserve">Summary of </w:t>
      </w:r>
      <w:r w:rsidR="00EF3024" w:rsidRPr="006C0A5C">
        <w:t>National Board’s regulatory work plan</w:t>
      </w:r>
    </w:p>
    <w:p w:rsidR="006C0A5C" w:rsidRDefault="008E4013" w:rsidP="006C0A5C">
      <w:pPr>
        <w:pStyle w:val="AHPRADocumentsubheading"/>
      </w:pPr>
      <w:r>
        <w:t>Chinese Medicine</w:t>
      </w:r>
      <w:r w:rsidR="006C0A5C">
        <w:t xml:space="preserve"> Board of Australia work plan 2015/16 </w:t>
      </w:r>
    </w:p>
    <w:p w:rsidR="006C0A5C" w:rsidRPr="00C01037" w:rsidRDefault="006C0A5C" w:rsidP="006C0A5C">
      <w:pPr>
        <w:pStyle w:val="AHPRAbody"/>
      </w:pPr>
      <w:r>
        <w:t xml:space="preserve">This document is linked to the Board’s Strategic </w:t>
      </w:r>
      <w:r w:rsidRPr="00B21075">
        <w:t>Statement 2015</w:t>
      </w:r>
      <w:r>
        <w:t>/</w:t>
      </w:r>
      <w:r w:rsidRPr="00B21075">
        <w:t>16 (which sets out the Board’s Key Strategic Priorities for 2015</w:t>
      </w:r>
      <w:r>
        <w:t>/</w:t>
      </w:r>
      <w:r w:rsidRPr="00B21075">
        <w:t>16) and the Risk</w:t>
      </w:r>
      <w:r>
        <w:t xml:space="preserve"> Management Plan (which sets out the Board’s identified risks and mitigation considerations). Some of these may extend beyond this period. The Board’s Strategic Pl</w:t>
      </w:r>
      <w:r w:rsidRPr="007370F6">
        <w:t>an</w:t>
      </w:r>
      <w:r>
        <w:t xml:space="preserve"> (which follows) sets out the</w:t>
      </w:r>
      <w:r w:rsidRPr="0090505A">
        <w:t xml:space="preserve"> </w:t>
      </w:r>
      <w:r>
        <w:rPr>
          <w:rFonts w:cs="Calibri"/>
        </w:rPr>
        <w:t xml:space="preserve">work and projects to be </w:t>
      </w:r>
      <w:r w:rsidRPr="0090505A">
        <w:t>undertake</w:t>
      </w:r>
      <w:r>
        <w:t>n in 2015/16</w:t>
      </w:r>
      <w:r w:rsidRPr="0090505A">
        <w:t xml:space="preserve"> to achieve </w:t>
      </w:r>
      <w:r>
        <w:t>its</w:t>
      </w:r>
      <w:r w:rsidRPr="0090505A">
        <w:t xml:space="preserve"> objectives.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5583"/>
      </w:tblGrid>
      <w:tr w:rsidR="006C0A5C" w:rsidRPr="00E05CFF" w:rsidTr="006C0A5C">
        <w:tc>
          <w:tcPr>
            <w:tcW w:w="5353" w:type="dxa"/>
            <w:vAlign w:val="bottom"/>
          </w:tcPr>
          <w:p w:rsidR="006C0A5C" w:rsidRPr="00E05CFF" w:rsidRDefault="006C0A5C" w:rsidP="006C0A5C">
            <w:pPr>
              <w:pStyle w:val="AHPRAbodybold"/>
            </w:pPr>
            <w:r w:rsidRPr="00E05CFF">
              <w:t xml:space="preserve">Priority  </w:t>
            </w:r>
            <w:r w:rsidRPr="00082F52">
              <w:rPr>
                <w:b w:val="0"/>
              </w:rPr>
              <w:t>(from Strategic Statement)</w:t>
            </w:r>
          </w:p>
        </w:tc>
        <w:tc>
          <w:tcPr>
            <w:tcW w:w="9248" w:type="dxa"/>
            <w:vAlign w:val="bottom"/>
          </w:tcPr>
          <w:p w:rsidR="006C0A5C" w:rsidRPr="00E05CFF" w:rsidRDefault="006C0A5C" w:rsidP="006C0A5C">
            <w:pPr>
              <w:pStyle w:val="AHPRAbodybold"/>
            </w:pPr>
            <w:r>
              <w:t>Priority Explanatory Statement</w:t>
            </w:r>
          </w:p>
        </w:tc>
      </w:tr>
      <w:tr w:rsidR="006C0A5C" w:rsidRPr="00E05CFF" w:rsidTr="006C0A5C">
        <w:tc>
          <w:tcPr>
            <w:tcW w:w="5353" w:type="dxa"/>
          </w:tcPr>
          <w:p w:rsidR="006C0A5C" w:rsidRPr="00B21075" w:rsidRDefault="006C0A5C" w:rsidP="006C0A5C">
            <w:pPr>
              <w:pStyle w:val="AHPRANumberedlistlevel1"/>
            </w:pPr>
            <w:r w:rsidRPr="00B21075">
              <w:t>To be an effective regulator</w:t>
            </w:r>
          </w:p>
        </w:tc>
        <w:tc>
          <w:tcPr>
            <w:tcW w:w="9248" w:type="dxa"/>
          </w:tcPr>
          <w:p w:rsidR="006C0A5C" w:rsidRPr="003A1306" w:rsidRDefault="006C0A5C" w:rsidP="006C0A5C">
            <w:pPr>
              <w:pStyle w:val="AHPRAbodyitalics"/>
              <w:rPr>
                <w:i w:val="0"/>
              </w:rPr>
            </w:pPr>
            <w:r w:rsidRPr="003A1306">
              <w:rPr>
                <w:i w:val="0"/>
              </w:rPr>
              <w:t>The effective and timely management of registration and notifications is of critical importance and is paramount to the operations of a regulator.</w:t>
            </w:r>
          </w:p>
          <w:p w:rsidR="006C0A5C" w:rsidRPr="003A1306" w:rsidRDefault="006C0A5C" w:rsidP="006C0A5C">
            <w:pPr>
              <w:pStyle w:val="AHPRAbodyitalics"/>
              <w:rPr>
                <w:i w:val="0"/>
              </w:rPr>
            </w:pPr>
            <w:r w:rsidRPr="003A1306">
              <w:rPr>
                <w:i w:val="0"/>
              </w:rPr>
              <w:t xml:space="preserve">The Board is committed to developing, implementing and monitoring to enhance practice improvement within the profession and public safety. </w:t>
            </w:r>
          </w:p>
          <w:p w:rsidR="006C0A5C" w:rsidRPr="003A1306" w:rsidRDefault="006C0A5C" w:rsidP="006C0A5C">
            <w:pPr>
              <w:pStyle w:val="AHPRAbodyitalics"/>
              <w:rPr>
                <w:rFonts w:cs="Calibri"/>
                <w:i w:val="0"/>
              </w:rPr>
            </w:pPr>
            <w:r w:rsidRPr="003A1306">
              <w:rPr>
                <w:rFonts w:cs="Calibri"/>
                <w:i w:val="0"/>
              </w:rPr>
              <w:t xml:space="preserve">Ensure sound accreditation and approval processes for Chinese medicine </w:t>
            </w:r>
            <w:r w:rsidRPr="003A1306">
              <w:rPr>
                <w:i w:val="0"/>
                <w:szCs w:val="20"/>
              </w:rPr>
              <w:t xml:space="preserve">programs of study and education providers </w:t>
            </w:r>
            <w:r w:rsidRPr="003A1306">
              <w:rPr>
                <w:rFonts w:cs="Calibri"/>
                <w:i w:val="0"/>
              </w:rPr>
              <w:t xml:space="preserve">whilst within the context of  </w:t>
            </w:r>
            <w:r w:rsidRPr="003A1306">
              <w:rPr>
                <w:i w:val="0"/>
              </w:rPr>
              <w:t>separate roles of the National Board and the Accreditation Committee</w:t>
            </w:r>
          </w:p>
        </w:tc>
      </w:tr>
      <w:tr w:rsidR="006C0A5C" w:rsidRPr="00E05CFF" w:rsidTr="006C0A5C">
        <w:tc>
          <w:tcPr>
            <w:tcW w:w="5353" w:type="dxa"/>
          </w:tcPr>
          <w:p w:rsidR="006C0A5C" w:rsidRPr="00B21075" w:rsidRDefault="006C0A5C" w:rsidP="006C0A5C">
            <w:pPr>
              <w:pStyle w:val="AHPRANumberedlistlevel1"/>
            </w:pPr>
            <w:r w:rsidRPr="00B21075">
              <w:t>To maintain a sustainable financial position for the Board</w:t>
            </w:r>
          </w:p>
        </w:tc>
        <w:tc>
          <w:tcPr>
            <w:tcW w:w="9248" w:type="dxa"/>
          </w:tcPr>
          <w:p w:rsidR="006C0A5C" w:rsidRPr="003A1306" w:rsidRDefault="006C0A5C" w:rsidP="006C0A5C">
            <w:pPr>
              <w:pStyle w:val="AHPRAbodyitalics"/>
              <w:rPr>
                <w:rFonts w:cs="Calibri"/>
                <w:i w:val="0"/>
              </w:rPr>
            </w:pPr>
            <w:r w:rsidRPr="003A1306">
              <w:rPr>
                <w:i w:val="0"/>
              </w:rPr>
              <w:t xml:space="preserve">The Board </w:t>
            </w:r>
            <w:r w:rsidRPr="003A1306">
              <w:rPr>
                <w:rFonts w:eastAsia="Times New Roman"/>
                <w:i w:val="0"/>
              </w:rPr>
              <w:t xml:space="preserve">is committed to </w:t>
            </w:r>
            <w:r w:rsidRPr="003A1306">
              <w:rPr>
                <w:i w:val="0"/>
              </w:rPr>
              <w:t>operating in an efficient and effective manner.</w:t>
            </w:r>
          </w:p>
        </w:tc>
      </w:tr>
      <w:tr w:rsidR="006C0A5C" w:rsidRPr="00E05CFF" w:rsidTr="006C0A5C">
        <w:tc>
          <w:tcPr>
            <w:tcW w:w="5353" w:type="dxa"/>
          </w:tcPr>
          <w:p w:rsidR="006C0A5C" w:rsidRPr="00B21075" w:rsidRDefault="006C0A5C" w:rsidP="006C0A5C">
            <w:pPr>
              <w:pStyle w:val="AHPRANumberedlistlevel1"/>
            </w:pPr>
            <w:r w:rsidRPr="00B21075">
              <w:t>To actively engage stakeholders</w:t>
            </w:r>
          </w:p>
        </w:tc>
        <w:tc>
          <w:tcPr>
            <w:tcW w:w="9248" w:type="dxa"/>
          </w:tcPr>
          <w:p w:rsidR="006C0A5C" w:rsidRPr="003A1306" w:rsidRDefault="006C0A5C" w:rsidP="006C0A5C">
            <w:pPr>
              <w:pStyle w:val="AHPRAbodyitalics"/>
              <w:rPr>
                <w:i w:val="0"/>
              </w:rPr>
            </w:pPr>
            <w:r w:rsidRPr="003A1306">
              <w:rPr>
                <w:i w:val="0"/>
              </w:rPr>
              <w:t>The board is committed to building a strong and efficient working relationship with AHPRA and the NRAS.</w:t>
            </w:r>
          </w:p>
          <w:p w:rsidR="006C0A5C" w:rsidRPr="003A1306" w:rsidRDefault="006C0A5C" w:rsidP="006C0A5C">
            <w:pPr>
              <w:pStyle w:val="AHPRAbodyitalics"/>
              <w:rPr>
                <w:rFonts w:cs="Calibri"/>
                <w:i w:val="0"/>
                <w:sz w:val="24"/>
              </w:rPr>
            </w:pPr>
            <w:r w:rsidRPr="003A1306">
              <w:rPr>
                <w:i w:val="0"/>
              </w:rPr>
              <w:t xml:space="preserve">Effective communication and engagement with key stakeholders including the profession, external stakeholders, other boards and the wider community develops the Board’s profile.  This is critical to asserting the Board’s place as the key responsible body for regulating the Chinese medicine profession in Australia. </w:t>
            </w:r>
          </w:p>
        </w:tc>
      </w:tr>
    </w:tbl>
    <w:p w:rsidR="007F3A76" w:rsidRDefault="007F3A76" w:rsidP="007F3A76"/>
    <w:p w:rsidR="007F3A76" w:rsidRPr="007F3A76" w:rsidRDefault="007F3A76" w:rsidP="007F3A76"/>
    <w:p w:rsidR="007F3A76" w:rsidRDefault="007F3A76" w:rsidP="007F3A76">
      <w:pPr>
        <w:pStyle w:val="AHPRASubheadinglevel2"/>
        <w:rPr>
          <w:rFonts w:cs="Arial"/>
        </w:rPr>
        <w:sectPr w:rsidR="007F3A76" w:rsidSect="006C0A5C">
          <w:headerReference w:type="even" r:id="rId18"/>
          <w:headerReference w:type="default" r:id="rId19"/>
          <w:headerReference w:type="first" r:id="rId20"/>
          <w:footerReference w:type="first" r:id="rId21"/>
          <w:pgSz w:w="11900" w:h="16840"/>
          <w:pgMar w:top="1440" w:right="1440" w:bottom="1440" w:left="1440" w:header="284" w:footer="686" w:gutter="0"/>
          <w:cols w:space="708"/>
          <w:titlePg/>
          <w:docGrid w:linePitch="326"/>
        </w:sectPr>
      </w:pPr>
    </w:p>
    <w:p w:rsidR="007C7B7F" w:rsidRDefault="007C7B7F" w:rsidP="007C7B7F">
      <w:pPr>
        <w:pStyle w:val="AHPRADocumentsubheading"/>
      </w:pPr>
      <w:r w:rsidRPr="006C0A5C">
        <w:lastRenderedPageBreak/>
        <w:t xml:space="preserve">Schedule 3: </w:t>
      </w:r>
      <w:r w:rsidR="00EF3024" w:rsidRPr="006C0A5C">
        <w:t>Fees payable by health practitioners</w:t>
      </w:r>
    </w:p>
    <w:p w:rsidR="00030037" w:rsidRPr="00EB7298" w:rsidRDefault="008E4013" w:rsidP="00030037">
      <w:pPr>
        <w:pStyle w:val="AHPRAbody"/>
        <w:rPr>
          <w:b/>
          <w:color w:val="007DC3"/>
        </w:rPr>
      </w:pPr>
      <w:r>
        <w:rPr>
          <w:b/>
          <w:color w:val="007DC3"/>
        </w:rPr>
        <w:t>CHINESE MEDICINE</w:t>
      </w:r>
      <w:r w:rsidR="00030037" w:rsidRPr="00EB7298">
        <w:rPr>
          <w:b/>
          <w:color w:val="007DC3"/>
        </w:rPr>
        <w:t xml:space="preserve"> BOARD OF AUSTRALIA</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2"/>
        <w:gridCol w:w="1501"/>
        <w:gridCol w:w="1502"/>
        <w:gridCol w:w="1502"/>
      </w:tblGrid>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jc w:val="center"/>
              <w:rPr>
                <w:rFonts w:eastAsia="Times New Roman" w:cs="Arial"/>
                <w:b/>
                <w:bCs/>
                <w:color w:val="444444"/>
                <w:sz w:val="20"/>
                <w:szCs w:val="20"/>
                <w:lang w:eastAsia="en-AU"/>
              </w:rPr>
            </w:pPr>
            <w:r w:rsidRPr="00C422CD">
              <w:rPr>
                <w:rFonts w:eastAsia="Times New Roman" w:cs="Arial"/>
                <w:b/>
                <w:bCs/>
                <w:color w:val="444444"/>
                <w:sz w:val="20"/>
                <w:szCs w:val="20"/>
                <w:lang w:eastAsia="en-AU"/>
              </w:rPr>
              <w:t>Item</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b/>
                <w:bCs/>
                <w:color w:val="444444"/>
                <w:sz w:val="20"/>
                <w:szCs w:val="20"/>
                <w:lang w:eastAsia="en-AU"/>
              </w:rPr>
            </w:pPr>
            <w:r w:rsidRPr="00C422CD">
              <w:rPr>
                <w:rFonts w:eastAsia="Times New Roman" w:cs="Arial"/>
                <w:b/>
                <w:bCs/>
                <w:color w:val="444444"/>
                <w:sz w:val="20"/>
                <w:szCs w:val="20"/>
                <w:lang w:eastAsia="en-AU"/>
              </w:rPr>
              <w:t>National fee ($)</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b/>
                <w:bCs/>
                <w:color w:val="444444"/>
                <w:sz w:val="20"/>
                <w:szCs w:val="20"/>
                <w:lang w:eastAsia="en-AU"/>
              </w:rPr>
            </w:pPr>
            <w:r w:rsidRPr="00C422CD">
              <w:rPr>
                <w:rFonts w:eastAsia="Times New Roman" w:cs="Arial"/>
                <w:b/>
                <w:bCs/>
                <w:color w:val="444444"/>
                <w:sz w:val="20"/>
                <w:szCs w:val="20"/>
                <w:lang w:eastAsia="en-AU"/>
              </w:rPr>
              <w:t>Rebate for NSW registrants ($)</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b/>
                <w:bCs/>
                <w:color w:val="444444"/>
                <w:sz w:val="20"/>
                <w:szCs w:val="20"/>
                <w:lang w:eastAsia="en-AU"/>
              </w:rPr>
            </w:pPr>
            <w:r w:rsidRPr="00C422CD">
              <w:rPr>
                <w:rFonts w:eastAsia="Times New Roman" w:cs="Arial"/>
                <w:b/>
                <w:bCs/>
                <w:color w:val="444444"/>
                <w:sz w:val="20"/>
                <w:szCs w:val="20"/>
                <w:lang w:eastAsia="en-AU"/>
              </w:rPr>
              <w:t>Fee for registrants with principal place of practice in NSW ($)</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1 division</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579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579</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2 divisions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685</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685</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3 divisions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737</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737</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1 division for new graduates*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2 divisions for new graduates*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606</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606</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general registration in 3 divisions for new graduates*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658</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658</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Application fee for fast track application</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290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290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Registration fee for general registration in 1 or more divisions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579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79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Registration fee for non-practising registration in 1 or more divisions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115</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11</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104</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Registration fee for limited registration in 1 or more divisions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579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79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Late renewal fee for general registration</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145</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145</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Late renewal fee for limited registration</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145</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145</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Late renewal fee for non-practising registration</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29</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29</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Replacement registration certificate</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Extract from the register</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10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Copy of the register (if application is assessed as in the public interest)</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2000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2000</w:t>
            </w:r>
          </w:p>
        </w:tc>
      </w:tr>
      <w:tr w:rsidR="00C422CD" w:rsidRPr="00C422CD" w:rsidTr="00C422CD">
        <w:trPr>
          <w:trHeight w:val="300"/>
        </w:trPr>
        <w:tc>
          <w:tcPr>
            <w:tcW w:w="2500" w:type="pct"/>
            <w:shd w:val="clear" w:color="auto" w:fill="auto"/>
            <w:noWrap/>
            <w:vAlign w:val="bottom"/>
            <w:hideMark/>
          </w:tcPr>
          <w:p w:rsidR="00C422CD" w:rsidRPr="00C422CD" w:rsidRDefault="00C422CD" w:rsidP="00C422CD">
            <w:pPr>
              <w:spacing w:before="60" w:after="60"/>
              <w:rPr>
                <w:rFonts w:eastAsia="Times New Roman" w:cs="Arial"/>
                <w:color w:val="444444"/>
                <w:sz w:val="20"/>
                <w:szCs w:val="20"/>
                <w:lang w:eastAsia="en-AU"/>
              </w:rPr>
            </w:pPr>
            <w:r w:rsidRPr="00C422CD">
              <w:rPr>
                <w:rFonts w:eastAsia="Times New Roman" w:cs="Arial"/>
                <w:color w:val="444444"/>
                <w:sz w:val="20"/>
                <w:szCs w:val="20"/>
                <w:lang w:eastAsia="en-AU"/>
              </w:rPr>
              <w:t>Verification of registration status (Certificate of Registration Status)</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0</w:t>
            </w:r>
          </w:p>
        </w:tc>
        <w:tc>
          <w:tcPr>
            <w:tcW w:w="830" w:type="pct"/>
            <w:shd w:val="clear" w:color="auto" w:fill="auto"/>
            <w:noWrap/>
            <w:vAlign w:val="bottom"/>
            <w:hideMark/>
          </w:tcPr>
          <w:p w:rsidR="00C422CD" w:rsidRPr="00C422CD" w:rsidRDefault="00C422CD" w:rsidP="00C422CD">
            <w:pPr>
              <w:spacing w:before="60" w:after="60"/>
              <w:jc w:val="right"/>
              <w:rPr>
                <w:rFonts w:eastAsia="Times New Roman" w:cs="Arial"/>
                <w:color w:val="444444"/>
                <w:sz w:val="20"/>
                <w:szCs w:val="20"/>
                <w:lang w:eastAsia="en-AU"/>
              </w:rPr>
            </w:pPr>
            <w:r w:rsidRPr="00C422CD">
              <w:rPr>
                <w:rFonts w:eastAsia="Times New Roman" w:cs="Arial"/>
                <w:color w:val="444444"/>
                <w:sz w:val="20"/>
                <w:szCs w:val="20"/>
                <w:lang w:eastAsia="en-AU"/>
              </w:rPr>
              <w:t>50</w:t>
            </w:r>
          </w:p>
        </w:tc>
      </w:tr>
    </w:tbl>
    <w:p w:rsidR="00BB73E5" w:rsidRDefault="00BB73E5" w:rsidP="007C7B7F">
      <w:pPr>
        <w:spacing w:after="0"/>
        <w:rPr>
          <w:rFonts w:cs="Arial"/>
          <w:sz w:val="20"/>
        </w:rPr>
      </w:pPr>
    </w:p>
    <w:p w:rsidR="00C422CD" w:rsidRDefault="00C422CD">
      <w:pPr>
        <w:spacing w:after="0"/>
        <w:rPr>
          <w:rFonts w:cs="Arial"/>
          <w:color w:val="5F6062"/>
          <w:sz w:val="28"/>
          <w:szCs w:val="52"/>
        </w:rPr>
      </w:pPr>
      <w:r>
        <w:br w:type="page"/>
      </w:r>
    </w:p>
    <w:p w:rsidR="00EF3024" w:rsidRDefault="007C7B7F" w:rsidP="007C7B7F">
      <w:pPr>
        <w:pStyle w:val="AHPRADocumentsubheading"/>
      </w:pPr>
      <w:r w:rsidRPr="006C0A5C">
        <w:lastRenderedPageBreak/>
        <w:t xml:space="preserve">Schedule 4: </w:t>
      </w:r>
      <w:r w:rsidR="006A0BC7" w:rsidRPr="006C0A5C">
        <w:t xml:space="preserve">Summary of </w:t>
      </w:r>
      <w:r w:rsidR="00EF3024" w:rsidRPr="006C0A5C">
        <w:t>National Board’s annual budget</w:t>
      </w:r>
    </w:p>
    <w:p w:rsidR="007C7B7F" w:rsidRPr="00EB7298" w:rsidRDefault="008E4013" w:rsidP="007C7B7F">
      <w:pPr>
        <w:pStyle w:val="AHPRAbody"/>
        <w:rPr>
          <w:b/>
          <w:color w:val="007DC3"/>
        </w:rPr>
      </w:pPr>
      <w:r>
        <w:rPr>
          <w:b/>
          <w:color w:val="007DC3"/>
        </w:rPr>
        <w:t>CHINESE MEDICINE</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balance sheet summary, budget notes</w:t>
      </w:r>
    </w:p>
    <w:p w:rsidR="00EB7298" w:rsidRDefault="00EB7298" w:rsidP="00792BB4">
      <w:pPr>
        <w:pStyle w:val="AHPRAbody"/>
        <w:spacing w:after="400"/>
        <w:rPr>
          <w:b/>
        </w:rPr>
      </w:pPr>
      <w:r w:rsidRPr="00EB7298">
        <w:rPr>
          <w:b/>
        </w:rPr>
        <w:t xml:space="preserve">SUMMARY BUDGET </w:t>
      </w:r>
      <w:r w:rsidR="002955CE">
        <w:rPr>
          <w:b/>
        </w:rPr>
        <w:t>2015/16</w:t>
      </w:r>
    </w:p>
    <w:tbl>
      <w:tblPr>
        <w:tblW w:w="9027" w:type="dxa"/>
        <w:tblInd w:w="94" w:type="dxa"/>
        <w:tblLook w:val="04A0" w:firstRow="1" w:lastRow="0" w:firstColumn="1" w:lastColumn="0" w:noHBand="0" w:noVBand="1"/>
      </w:tblPr>
      <w:tblGrid>
        <w:gridCol w:w="6264"/>
        <w:gridCol w:w="2763"/>
      </w:tblGrid>
      <w:tr w:rsidR="00CC4F46" w:rsidRPr="00CC4F46" w:rsidTr="00CC4F46">
        <w:trPr>
          <w:trHeight w:val="930"/>
        </w:trPr>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jc w:val="center"/>
              <w:rPr>
                <w:rFonts w:eastAsia="Times New Roman" w:cs="Arial"/>
                <w:b/>
                <w:bCs/>
                <w:color w:val="000000"/>
                <w:sz w:val="20"/>
                <w:szCs w:val="20"/>
                <w:lang w:eastAsia="en-AU"/>
              </w:rPr>
            </w:pPr>
            <w:r w:rsidRPr="00CC4F46">
              <w:rPr>
                <w:rFonts w:eastAsia="Times New Roman"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center"/>
              <w:rPr>
                <w:rFonts w:eastAsia="Times New Roman" w:cs="Arial"/>
                <w:b/>
                <w:bCs/>
                <w:color w:val="000000"/>
                <w:sz w:val="20"/>
                <w:szCs w:val="20"/>
                <w:lang w:eastAsia="en-AU"/>
              </w:rPr>
            </w:pPr>
            <w:r w:rsidRPr="00CC4F46">
              <w:rPr>
                <w:rFonts w:eastAsia="Times New Roman" w:cs="Arial"/>
                <w:b/>
                <w:bCs/>
                <w:color w:val="000000"/>
                <w:sz w:val="20"/>
                <w:szCs w:val="20"/>
                <w:lang w:eastAsia="en-AU"/>
              </w:rPr>
              <w:t>$</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b/>
                <w:bCs/>
                <w:color w:val="000000"/>
                <w:sz w:val="20"/>
                <w:szCs w:val="20"/>
                <w:lang w:eastAsia="en-AU"/>
              </w:rPr>
            </w:pPr>
            <w:r w:rsidRPr="00CC4F46">
              <w:rPr>
                <w:rFonts w:eastAsia="Times New Roman"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000000" w:fill="D8D8D8"/>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 </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 xml:space="preserve">Registration </w:t>
            </w:r>
            <w:r>
              <w:rPr>
                <w:rFonts w:eastAsia="Times New Roman" w:cs="Arial"/>
                <w:color w:val="000000"/>
                <w:sz w:val="20"/>
                <w:szCs w:val="20"/>
                <w:lang w:eastAsia="en-AU"/>
              </w:rPr>
              <w:t>(see note 1)</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$2,005,000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Application income</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$200,000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$88,600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$9,600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Other income *</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$101,800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b/>
                <w:bCs/>
                <w:color w:val="000000"/>
                <w:sz w:val="20"/>
                <w:szCs w:val="20"/>
                <w:lang w:eastAsia="en-AU"/>
              </w:rPr>
            </w:pPr>
            <w:r w:rsidRPr="00CC4F46">
              <w:rPr>
                <w:rFonts w:eastAsia="Times New Roman"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$2,405,000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b/>
                <w:bCs/>
                <w:color w:val="000000"/>
                <w:sz w:val="20"/>
                <w:szCs w:val="20"/>
                <w:lang w:eastAsia="en-AU"/>
              </w:rPr>
            </w:pPr>
            <w:r w:rsidRPr="00CC4F46">
              <w:rPr>
                <w:rFonts w:eastAsia="Times New Roman"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 </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Board and committee expenses (see note 2)</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$417,500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$309,700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$187,300</w:t>
            </w:r>
          </w:p>
        </w:tc>
      </w:tr>
      <w:tr w:rsidR="00CC4F46" w:rsidRPr="00CC4F46" w:rsidTr="00CC4F46">
        <w:trPr>
          <w:trHeight w:val="702"/>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5377D2" w:rsidP="00CC4F46">
            <w:pPr>
              <w:spacing w:after="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$12,100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$476,500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color w:val="000000"/>
                <w:sz w:val="20"/>
                <w:szCs w:val="20"/>
                <w:lang w:eastAsia="en-AU"/>
              </w:rPr>
            </w:pPr>
            <w:r w:rsidRPr="00CC4F46">
              <w:rPr>
                <w:rFonts w:eastAsia="Times New Roman"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$871,200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b/>
                <w:bCs/>
                <w:color w:val="000000"/>
                <w:sz w:val="20"/>
                <w:szCs w:val="20"/>
                <w:lang w:eastAsia="en-AU"/>
              </w:rPr>
            </w:pPr>
            <w:r w:rsidRPr="00CC4F46">
              <w:rPr>
                <w:rFonts w:eastAsia="Times New Roman"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$2,274,300</w:t>
            </w:r>
          </w:p>
        </w:tc>
      </w:tr>
      <w:tr w:rsidR="00CC4F46" w:rsidRPr="00CC4F46" w:rsidTr="00CC4F46">
        <w:trPr>
          <w:trHeight w:val="499"/>
        </w:trPr>
        <w:tc>
          <w:tcPr>
            <w:tcW w:w="6264" w:type="dxa"/>
            <w:tcBorders>
              <w:top w:val="nil"/>
              <w:left w:val="single" w:sz="4" w:space="0" w:color="auto"/>
              <w:bottom w:val="single" w:sz="4" w:space="0" w:color="auto"/>
              <w:right w:val="single" w:sz="4" w:space="0" w:color="auto"/>
            </w:tcBorders>
            <w:shd w:val="clear" w:color="auto" w:fill="auto"/>
            <w:vAlign w:val="center"/>
            <w:hideMark/>
          </w:tcPr>
          <w:p w:rsidR="00CC4F46" w:rsidRPr="00CC4F46" w:rsidRDefault="00CC4F46" w:rsidP="00CC4F46">
            <w:pPr>
              <w:spacing w:after="0"/>
              <w:rPr>
                <w:rFonts w:eastAsia="Times New Roman" w:cs="Arial"/>
                <w:b/>
                <w:bCs/>
                <w:color w:val="000000"/>
                <w:sz w:val="20"/>
                <w:szCs w:val="20"/>
                <w:lang w:eastAsia="en-AU"/>
              </w:rPr>
            </w:pPr>
            <w:r w:rsidRPr="00CC4F46">
              <w:rPr>
                <w:rFonts w:eastAsia="Times New Roman"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000000" w:fill="D8D8D8"/>
            <w:vAlign w:val="center"/>
            <w:hideMark/>
          </w:tcPr>
          <w:p w:rsidR="00CC4F46" w:rsidRPr="00CC4F46" w:rsidRDefault="00CC4F46" w:rsidP="00CC4F46">
            <w:pPr>
              <w:spacing w:after="0"/>
              <w:jc w:val="right"/>
              <w:rPr>
                <w:rFonts w:eastAsia="Times New Roman" w:cs="Arial"/>
                <w:color w:val="000000"/>
                <w:sz w:val="20"/>
                <w:szCs w:val="20"/>
                <w:lang w:eastAsia="en-AU"/>
              </w:rPr>
            </w:pPr>
            <w:r w:rsidRPr="00CC4F46">
              <w:rPr>
                <w:rFonts w:eastAsia="Times New Roman" w:cs="Arial"/>
                <w:color w:val="000000"/>
                <w:sz w:val="20"/>
                <w:szCs w:val="20"/>
                <w:lang w:eastAsia="en-AU"/>
              </w:rPr>
              <w:t>$130,700</w:t>
            </w:r>
          </w:p>
        </w:tc>
      </w:tr>
    </w:tbl>
    <w:p w:rsidR="00CC4F46" w:rsidRDefault="00CC4F46" w:rsidP="00CC4F46">
      <w:pPr>
        <w:pStyle w:val="AHPRAbody"/>
        <w:spacing w:after="400"/>
        <w:rPr>
          <w:b/>
        </w:rPr>
      </w:pPr>
    </w:p>
    <w:p w:rsidR="00CC4F46" w:rsidRDefault="00CC4F46">
      <w:pPr>
        <w:spacing w:after="0"/>
        <w:rPr>
          <w:rFonts w:cs="Arial"/>
          <w:b/>
          <w:sz w:val="20"/>
        </w:rPr>
      </w:pPr>
      <w:r>
        <w:rPr>
          <w:b/>
        </w:rPr>
        <w:br w:type="page"/>
      </w:r>
    </w:p>
    <w:p w:rsidR="00CC4F46" w:rsidRDefault="00CC4F46" w:rsidP="00CC4F46">
      <w:pPr>
        <w:pStyle w:val="AHPRAbody"/>
        <w:spacing w:after="400"/>
        <w:rPr>
          <w:b/>
        </w:rPr>
      </w:pPr>
      <w:r w:rsidRPr="00EB7298">
        <w:rPr>
          <w:b/>
        </w:rPr>
        <w:lastRenderedPageBreak/>
        <w:t xml:space="preserve">BUDGET </w:t>
      </w:r>
      <w:r>
        <w:rPr>
          <w:b/>
        </w:rPr>
        <w:t>NOTES</w:t>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CC4F46" w:rsidRPr="00886ADB" w:rsidTr="004E4200">
        <w:tc>
          <w:tcPr>
            <w:tcW w:w="2664" w:type="dxa"/>
            <w:tcBorders>
              <w:top w:val="nil"/>
              <w:bottom w:val="single" w:sz="4" w:space="0" w:color="auto"/>
            </w:tcBorders>
            <w:tcMar>
              <w:top w:w="0" w:type="dxa"/>
              <w:left w:w="108" w:type="dxa"/>
              <w:bottom w:w="0" w:type="dxa"/>
              <w:right w:w="108" w:type="dxa"/>
            </w:tcMar>
            <w:hideMark/>
          </w:tcPr>
          <w:p w:rsidR="00CC4F46" w:rsidRPr="00886ADB" w:rsidRDefault="00CC4F46" w:rsidP="00CC4F46">
            <w:pPr>
              <w:pStyle w:val="ListParagraph"/>
              <w:numPr>
                <w:ilvl w:val="0"/>
                <w:numId w:val="42"/>
              </w:numPr>
              <w:spacing w:before="120" w:after="120"/>
              <w:ind w:left="318" w:hanging="284"/>
              <w:contextualSpacing w:val="0"/>
              <w:rPr>
                <w:rFonts w:cs="Arial"/>
                <w:color w:val="000000"/>
                <w:sz w:val="20"/>
                <w:szCs w:val="20"/>
              </w:rPr>
            </w:pPr>
            <w:r>
              <w:rPr>
                <w:rFonts w:cs="Arial"/>
                <w:color w:val="000000"/>
                <w:sz w:val="20"/>
                <w:szCs w:val="20"/>
              </w:rPr>
              <w:t>Registrant numbers</w:t>
            </w:r>
          </w:p>
        </w:tc>
        <w:tc>
          <w:tcPr>
            <w:tcW w:w="6296" w:type="dxa"/>
            <w:tcBorders>
              <w:top w:val="nil"/>
              <w:bottom w:val="single" w:sz="4" w:space="0" w:color="auto"/>
              <w:right w:val="nil"/>
            </w:tcBorders>
            <w:tcMar>
              <w:top w:w="0" w:type="dxa"/>
              <w:left w:w="108" w:type="dxa"/>
              <w:bottom w:w="0" w:type="dxa"/>
              <w:right w:w="108" w:type="dxa"/>
            </w:tcMar>
            <w:hideMark/>
          </w:tcPr>
          <w:p w:rsidR="00CC4F46" w:rsidRPr="00D72E3D" w:rsidRDefault="00CC4F46" w:rsidP="004E4200">
            <w:pPr>
              <w:tabs>
                <w:tab w:val="right" w:pos="5987"/>
              </w:tabs>
              <w:spacing w:before="120" w:after="120"/>
              <w:rPr>
                <w:rFonts w:cs="Arial"/>
                <w:color w:val="000000" w:themeColor="text1"/>
                <w:sz w:val="20"/>
                <w:szCs w:val="20"/>
              </w:rPr>
            </w:pPr>
            <w:r w:rsidRPr="00077A10">
              <w:rPr>
                <w:rFonts w:cs="Arial"/>
                <w:color w:val="000000" w:themeColor="text1"/>
                <w:sz w:val="20"/>
                <w:szCs w:val="20"/>
              </w:rPr>
              <w:t>The registration income is derived</w:t>
            </w:r>
            <w:r>
              <w:rPr>
                <w:rFonts w:cs="Arial"/>
                <w:color w:val="000000" w:themeColor="text1"/>
                <w:sz w:val="20"/>
                <w:szCs w:val="20"/>
              </w:rPr>
              <w:t xml:space="preserve"> from the following assumptions:</w:t>
            </w:r>
          </w:p>
          <w:p w:rsidR="00CC4F46" w:rsidRPr="00B45124" w:rsidRDefault="00CC4F46" w:rsidP="00CC4F46">
            <w:pPr>
              <w:pStyle w:val="ListParagraph"/>
              <w:numPr>
                <w:ilvl w:val="0"/>
                <w:numId w:val="43"/>
              </w:numPr>
              <w:tabs>
                <w:tab w:val="right" w:leader="dot" w:pos="6180"/>
              </w:tabs>
              <w:spacing w:before="120" w:after="120"/>
              <w:ind w:left="170" w:hanging="170"/>
              <w:rPr>
                <w:color w:val="000000" w:themeColor="text1"/>
                <w:sz w:val="20"/>
                <w:szCs w:val="20"/>
              </w:rPr>
            </w:pPr>
            <w:r w:rsidRPr="00B45124">
              <w:rPr>
                <w:color w:val="000000" w:themeColor="text1"/>
                <w:sz w:val="20"/>
                <w:szCs w:val="20"/>
                <w:shd w:val="clear" w:color="auto" w:fill="FFFFFF" w:themeFill="background1"/>
              </w:rPr>
              <w:t>Budgeted registrants invited to renew at next renewal period</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CC4F46">
              <w:rPr>
                <w:color w:val="000000" w:themeColor="text1"/>
                <w:sz w:val="20"/>
                <w:szCs w:val="20"/>
                <w:shd w:val="clear" w:color="auto" w:fill="FFFFFF" w:themeFill="background1"/>
              </w:rPr>
              <w:t>4,260</w:t>
            </w:r>
          </w:p>
          <w:p w:rsidR="00CC4F46" w:rsidRPr="00B45124" w:rsidRDefault="00CC4F46" w:rsidP="00CC4F46">
            <w:pPr>
              <w:pStyle w:val="ListParagraph"/>
              <w:numPr>
                <w:ilvl w:val="0"/>
                <w:numId w:val="43"/>
              </w:numPr>
              <w:tabs>
                <w:tab w:val="right" w:leader="dot" w:pos="6180"/>
              </w:tabs>
              <w:spacing w:before="120" w:after="120"/>
              <w:ind w:left="170" w:hanging="170"/>
              <w:rPr>
                <w:rFonts w:cs="Arial"/>
                <w:sz w:val="20"/>
                <w:szCs w:val="20"/>
              </w:rPr>
            </w:pPr>
            <w:r w:rsidRPr="00B45124">
              <w:rPr>
                <w:color w:val="000000" w:themeColor="text1"/>
                <w:sz w:val="20"/>
                <w:szCs w:val="20"/>
                <w:shd w:val="clear" w:color="auto" w:fill="FFFFFF" w:themeFill="background1"/>
              </w:rPr>
              <w:t>Budgeted lapse rate of renewals</w:t>
            </w:r>
            <w:r>
              <w:rPr>
                <w:color w:val="000000" w:themeColor="text1"/>
                <w:sz w:val="20"/>
                <w:szCs w:val="20"/>
                <w:shd w:val="clear" w:color="auto" w:fill="FFFFFF" w:themeFill="background1"/>
              </w:rPr>
              <w:t>:</w:t>
            </w:r>
            <w:r>
              <w:rPr>
                <w:color w:val="000000" w:themeColor="text1"/>
                <w:sz w:val="20"/>
                <w:szCs w:val="20"/>
                <w:shd w:val="clear" w:color="auto" w:fill="FFFFFF" w:themeFill="background1"/>
              </w:rPr>
              <w:tab/>
            </w:r>
            <w:r w:rsidRPr="00CC4F46">
              <w:rPr>
                <w:color w:val="000000" w:themeColor="text1"/>
                <w:sz w:val="20"/>
                <w:szCs w:val="20"/>
              </w:rPr>
              <w:t>4.59%</w:t>
            </w:r>
          </w:p>
        </w:tc>
        <w:tc>
          <w:tcPr>
            <w:tcW w:w="67" w:type="dxa"/>
            <w:tcBorders>
              <w:top w:val="nil"/>
              <w:left w:val="nil"/>
              <w:bottom w:val="single" w:sz="4" w:space="0" w:color="auto"/>
            </w:tcBorders>
            <w:vAlign w:val="center"/>
            <w:hideMark/>
          </w:tcPr>
          <w:p w:rsidR="00CC4F46" w:rsidRPr="00886ADB" w:rsidRDefault="00CC4F46" w:rsidP="004E4200">
            <w:pPr>
              <w:rPr>
                <w:sz w:val="20"/>
              </w:rPr>
            </w:pPr>
          </w:p>
        </w:tc>
      </w:tr>
      <w:tr w:rsidR="002A3A79" w:rsidRPr="00886ADB" w:rsidTr="004E4200">
        <w:tc>
          <w:tcPr>
            <w:tcW w:w="2664" w:type="dxa"/>
            <w:tcBorders>
              <w:top w:val="nil"/>
              <w:bottom w:val="single" w:sz="4" w:space="0" w:color="auto"/>
            </w:tcBorders>
            <w:tcMar>
              <w:top w:w="0" w:type="dxa"/>
              <w:left w:w="108" w:type="dxa"/>
              <w:bottom w:w="0" w:type="dxa"/>
              <w:right w:w="108" w:type="dxa"/>
            </w:tcMar>
            <w:hideMark/>
          </w:tcPr>
          <w:p w:rsidR="002A3A79" w:rsidRPr="00886ADB" w:rsidRDefault="002A3A79" w:rsidP="00CC4F46">
            <w:pPr>
              <w:pStyle w:val="ListParagraph"/>
              <w:numPr>
                <w:ilvl w:val="0"/>
                <w:numId w:val="42"/>
              </w:numPr>
              <w:spacing w:before="120" w:after="120"/>
              <w:ind w:left="318" w:hanging="284"/>
              <w:contextualSpacing w:val="0"/>
              <w:rPr>
                <w:sz w:val="20"/>
              </w:rPr>
            </w:pPr>
            <w:r w:rsidRPr="00886ADB">
              <w:rPr>
                <w:rFonts w:cs="Arial"/>
                <w:color w:val="000000"/>
                <w:sz w:val="20"/>
                <w:szCs w:val="20"/>
              </w:rPr>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2A3A79" w:rsidRPr="00886ADB" w:rsidRDefault="002A3A79" w:rsidP="004D7B71">
            <w:pPr>
              <w:spacing w:before="120" w:after="120"/>
              <w:rPr>
                <w:rFonts w:ascii="Calibri" w:eastAsiaTheme="minorHAnsi" w:hAnsi="Calibri"/>
                <w:sz w:val="20"/>
                <w:szCs w:val="22"/>
              </w:rPr>
            </w:pPr>
            <w:r w:rsidRPr="00886ADB">
              <w:rPr>
                <w:rFonts w:cs="Arial"/>
                <w:sz w:val="20"/>
                <w:szCs w:val="20"/>
              </w:rPr>
              <w:t xml:space="preserve">This covers the meeting costs of the National Board, as well as </w:t>
            </w:r>
            <w:r>
              <w:rPr>
                <w:rFonts w:cs="Arial"/>
                <w:sz w:val="20"/>
                <w:szCs w:val="20"/>
              </w:rPr>
              <w:t>its</w:t>
            </w:r>
            <w:r w:rsidRPr="00886ADB">
              <w:rPr>
                <w:rFonts w:cs="Arial"/>
                <w:sz w:val="20"/>
                <w:szCs w:val="20"/>
              </w:rPr>
              <w:t xml:space="preserve"> 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2A3A79" w:rsidRPr="00886ADB" w:rsidRDefault="002A3A79" w:rsidP="004D7B71">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2A3A79" w:rsidRPr="00886ADB" w:rsidRDefault="002A3A79" w:rsidP="004E4200">
            <w:pPr>
              <w:rPr>
                <w:rFonts w:ascii="Calibri" w:eastAsiaTheme="minorHAnsi" w:hAnsi="Calibri"/>
                <w:sz w:val="20"/>
                <w:szCs w:val="22"/>
              </w:rPr>
            </w:pPr>
            <w:r w:rsidRPr="00886ADB">
              <w:rPr>
                <w:sz w:val="20"/>
              </w:rPr>
              <w:t> </w:t>
            </w:r>
          </w:p>
        </w:tc>
      </w:tr>
      <w:tr w:rsidR="002A3A79"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2A3A79" w:rsidRPr="00886ADB" w:rsidRDefault="002A3A79" w:rsidP="00CC4F46">
            <w:pPr>
              <w:pStyle w:val="ListParagraph"/>
              <w:numPr>
                <w:ilvl w:val="0"/>
                <w:numId w:val="42"/>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2A3A79" w:rsidRPr="00886ADB" w:rsidRDefault="002A3A79" w:rsidP="004D7B71">
            <w:pPr>
              <w:spacing w:before="120" w:after="120"/>
              <w:rPr>
                <w:rFonts w:ascii="Calibri" w:eastAsiaTheme="minorHAnsi" w:hAnsi="Calibri"/>
                <w:sz w:val="20"/>
                <w:szCs w:val="22"/>
              </w:rPr>
            </w:pPr>
            <w:r w:rsidRPr="00886ADB">
              <w:rPr>
                <w:rFonts w:cs="Arial"/>
                <w:sz w:val="20"/>
                <w:szCs w:val="20"/>
              </w:rPr>
              <w:t xml:space="preserve">Note: These legal costs do not include the significant proportion of the Board's direct costs (including sitting fees) and a substantial amount of the work of </w:t>
            </w:r>
            <w:r>
              <w:rPr>
                <w:rFonts w:cs="Arial"/>
                <w:sz w:val="20"/>
                <w:szCs w:val="20"/>
              </w:rPr>
              <w:t>committees</w:t>
            </w:r>
            <w:r w:rsidRPr="00886ADB">
              <w:rPr>
                <w:rFonts w:cs="Arial"/>
                <w:sz w:val="20"/>
                <w:szCs w:val="20"/>
              </w:rPr>
              <w:t xml:space="preserve"> also relates to managing and assessing notifications.</w:t>
            </w:r>
          </w:p>
          <w:p w:rsidR="002A3A79" w:rsidRPr="00886ADB" w:rsidRDefault="002A3A79" w:rsidP="004D7B71">
            <w:pPr>
              <w:spacing w:before="120" w:after="120"/>
              <w:rPr>
                <w:rFonts w:ascii="Calibri" w:eastAsiaTheme="minorHAnsi" w:hAnsi="Calibri"/>
                <w:sz w:val="20"/>
                <w:szCs w:val="22"/>
              </w:rPr>
            </w:pPr>
            <w:r w:rsidRPr="00886ADB">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2A3A79" w:rsidRPr="00886ADB" w:rsidRDefault="002A3A79" w:rsidP="004E4200">
            <w:pPr>
              <w:rPr>
                <w:rFonts w:ascii="Calibri" w:eastAsiaTheme="minorHAnsi" w:hAnsi="Calibri"/>
                <w:sz w:val="20"/>
                <w:szCs w:val="22"/>
              </w:rPr>
            </w:pPr>
            <w:r w:rsidRPr="00886ADB">
              <w:rPr>
                <w:sz w:val="20"/>
              </w:rPr>
              <w:t> </w:t>
            </w:r>
          </w:p>
        </w:tc>
      </w:tr>
      <w:tr w:rsidR="00CC4F46"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CC4F46" w:rsidRPr="00886ADB" w:rsidRDefault="00CC4F46" w:rsidP="00CC4F46">
            <w:pPr>
              <w:pStyle w:val="ListParagraph"/>
              <w:numPr>
                <w:ilvl w:val="0"/>
                <w:numId w:val="42"/>
              </w:numPr>
              <w:spacing w:before="120" w:after="120"/>
              <w:ind w:left="318"/>
              <w:contextualSpacing w:val="0"/>
              <w:rPr>
                <w:sz w:val="20"/>
              </w:rPr>
            </w:pPr>
            <w:r w:rsidRPr="00886ADB">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CC4F46" w:rsidRPr="0035799E" w:rsidRDefault="00CC4F46" w:rsidP="004E4200">
            <w:pPr>
              <w:autoSpaceDE w:val="0"/>
              <w:autoSpaceDN w:val="0"/>
              <w:spacing w:before="120" w:after="120"/>
              <w:rPr>
                <w:rFonts w:ascii="Calibri" w:eastAsiaTheme="minorHAnsi" w:hAnsi="Calibri"/>
                <w:sz w:val="20"/>
                <w:szCs w:val="22"/>
              </w:rPr>
            </w:pPr>
            <w:r w:rsidRPr="0035799E">
              <w:rPr>
                <w:rFonts w:cs="Arial"/>
                <w:sz w:val="20"/>
                <w:szCs w:val="20"/>
              </w:rPr>
              <w:t xml:space="preserve">Accreditation expenses include the costs of funding provided to the </w:t>
            </w:r>
            <w:r>
              <w:rPr>
                <w:rFonts w:cs="Arial"/>
                <w:sz w:val="20"/>
                <w:szCs w:val="20"/>
              </w:rPr>
              <w:t>Board’s Accreditation Committee</w:t>
            </w:r>
            <w:r w:rsidRPr="0035799E">
              <w:rPr>
                <w:rFonts w:cs="Arial"/>
                <w:sz w:val="20"/>
                <w:szCs w:val="20"/>
              </w:rPr>
              <w:t xml:space="preserve"> for accreditation and functions and projects.</w:t>
            </w:r>
          </w:p>
        </w:tc>
        <w:tc>
          <w:tcPr>
            <w:tcW w:w="67" w:type="dxa"/>
            <w:tcBorders>
              <w:top w:val="single" w:sz="4" w:space="0" w:color="auto"/>
              <w:left w:val="nil"/>
              <w:bottom w:val="single" w:sz="4" w:space="0" w:color="auto"/>
            </w:tcBorders>
            <w:vAlign w:val="center"/>
            <w:hideMark/>
          </w:tcPr>
          <w:p w:rsidR="00CC4F46" w:rsidRPr="00886ADB" w:rsidRDefault="00CC4F46" w:rsidP="004E4200">
            <w:pPr>
              <w:rPr>
                <w:rFonts w:ascii="Calibri" w:eastAsiaTheme="minorHAnsi" w:hAnsi="Calibri"/>
                <w:sz w:val="20"/>
                <w:szCs w:val="22"/>
              </w:rPr>
            </w:pPr>
            <w:r w:rsidRPr="00886ADB">
              <w:rPr>
                <w:sz w:val="20"/>
              </w:rPr>
              <w:t> </w:t>
            </w:r>
          </w:p>
        </w:tc>
      </w:tr>
      <w:tr w:rsidR="00CC4F46" w:rsidRPr="00886ADB" w:rsidTr="004E4200">
        <w:tc>
          <w:tcPr>
            <w:tcW w:w="2664" w:type="dxa"/>
            <w:tcBorders>
              <w:top w:val="single" w:sz="4" w:space="0" w:color="auto"/>
              <w:bottom w:val="single" w:sz="4" w:space="0" w:color="auto"/>
            </w:tcBorders>
            <w:tcMar>
              <w:top w:w="0" w:type="dxa"/>
              <w:left w:w="108" w:type="dxa"/>
              <w:bottom w:w="0" w:type="dxa"/>
              <w:right w:w="108" w:type="dxa"/>
            </w:tcMar>
            <w:hideMark/>
          </w:tcPr>
          <w:p w:rsidR="00CC4F46" w:rsidRPr="00886ADB" w:rsidRDefault="00CC4F46" w:rsidP="00CC4F46">
            <w:pPr>
              <w:pStyle w:val="ListParagraph"/>
              <w:numPr>
                <w:ilvl w:val="0"/>
                <w:numId w:val="42"/>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CC4F46" w:rsidRPr="00886ADB" w:rsidRDefault="00CC4F46" w:rsidP="004E4200">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See </w:t>
            </w:r>
            <w:r w:rsidRPr="0035799E">
              <w:rPr>
                <w:sz w:val="20"/>
                <w:szCs w:val="20"/>
              </w:rPr>
              <w:t>Schedule 2: Summary of National Board’s regulatory work plan</w:t>
            </w:r>
            <w:r w:rsidRPr="00886ADB">
              <w:rPr>
                <w:rFonts w:cs="Arial"/>
                <w:sz w:val="20"/>
                <w:szCs w:val="20"/>
              </w:rPr>
              <w:t>.</w:t>
            </w:r>
          </w:p>
          <w:p w:rsidR="00CC4F46" w:rsidRPr="00886ADB" w:rsidRDefault="00CC4F46" w:rsidP="004E4200">
            <w:pPr>
              <w:spacing w:before="120" w:after="120"/>
              <w:rPr>
                <w:sz w:val="20"/>
              </w:rPr>
            </w:pPr>
            <w:r w:rsidRPr="00886ADB">
              <w:rPr>
                <w:rFonts w:cs="Arial"/>
                <w:sz w:val="20"/>
                <w:szCs w:val="20"/>
              </w:rPr>
              <w:t>This includes the following activities:</w:t>
            </w:r>
          </w:p>
          <w:p w:rsidR="00CC4F46" w:rsidRPr="00886ADB" w:rsidRDefault="00CC4F46" w:rsidP="00CC4F46">
            <w:pPr>
              <w:pStyle w:val="ListParagraph"/>
              <w:numPr>
                <w:ilvl w:val="0"/>
                <w:numId w:val="41"/>
              </w:numPr>
              <w:spacing w:before="120" w:after="120"/>
              <w:ind w:left="357" w:hanging="357"/>
              <w:rPr>
                <w:sz w:val="20"/>
              </w:rPr>
            </w:pPr>
            <w:r w:rsidRPr="00886ADB">
              <w:rPr>
                <w:rFonts w:cs="Arial"/>
                <w:sz w:val="20"/>
                <w:szCs w:val="20"/>
              </w:rPr>
              <w:t>costs involved in consultation with the community and the profession</w:t>
            </w:r>
          </w:p>
          <w:p w:rsidR="00CC4F46" w:rsidRPr="00886ADB" w:rsidRDefault="00CC4F46" w:rsidP="00CC4F46">
            <w:pPr>
              <w:pStyle w:val="ListParagraph"/>
              <w:numPr>
                <w:ilvl w:val="0"/>
                <w:numId w:val="41"/>
              </w:numPr>
              <w:spacing w:before="120" w:after="120"/>
              <w:ind w:left="357" w:hanging="357"/>
              <w:rPr>
                <w:sz w:val="20"/>
              </w:rPr>
            </w:pPr>
            <w:r w:rsidRPr="00886ADB">
              <w:rPr>
                <w:rFonts w:cs="Arial"/>
                <w:sz w:val="20"/>
                <w:szCs w:val="20"/>
              </w:rPr>
              <w:t>engagement of consultants necessary to support the work of the Board</w:t>
            </w:r>
          </w:p>
          <w:p w:rsidR="00CC4F46" w:rsidRPr="00886ADB" w:rsidRDefault="00CC4F46" w:rsidP="00CC4F46">
            <w:pPr>
              <w:pStyle w:val="ListParagraph"/>
              <w:numPr>
                <w:ilvl w:val="0"/>
                <w:numId w:val="41"/>
              </w:numPr>
              <w:spacing w:before="120" w:after="120"/>
              <w:ind w:left="357" w:hanging="357"/>
              <w:rPr>
                <w:sz w:val="20"/>
              </w:rPr>
            </w:pPr>
            <w:r w:rsidRPr="00886ADB">
              <w:rPr>
                <w:rFonts w:cs="Arial"/>
                <w:sz w:val="20"/>
                <w:szCs w:val="20"/>
              </w:rPr>
              <w:t>publication of material to guide the profession, such as the Board’s newsletter Update</w:t>
            </w:r>
          </w:p>
          <w:p w:rsidR="00CC4F46" w:rsidRPr="00886ADB" w:rsidRDefault="00CC4F46" w:rsidP="00CC4F46">
            <w:pPr>
              <w:pStyle w:val="ListParagraph"/>
              <w:numPr>
                <w:ilvl w:val="0"/>
                <w:numId w:val="41"/>
              </w:numPr>
              <w:spacing w:before="120" w:after="120"/>
              <w:ind w:left="357" w:hanging="357"/>
              <w:rPr>
                <w:sz w:val="20"/>
              </w:rPr>
            </w:pPr>
            <w:r w:rsidRPr="00886ADB">
              <w:rPr>
                <w:rFonts w:cs="Arial"/>
                <w:sz w:val="20"/>
                <w:szCs w:val="20"/>
              </w:rPr>
              <w:t>Board member professional development</w:t>
            </w:r>
            <w:r w:rsidR="00C422CD">
              <w:rPr>
                <w:rFonts w:cs="Arial"/>
                <w:sz w:val="20"/>
                <w:szCs w:val="20"/>
              </w:rPr>
              <w:t>, and</w:t>
            </w:r>
          </w:p>
          <w:p w:rsidR="00CC4F46" w:rsidRPr="00C422CD" w:rsidRDefault="00CC4F46" w:rsidP="00C422CD">
            <w:pPr>
              <w:pStyle w:val="ListParagraph"/>
              <w:numPr>
                <w:ilvl w:val="0"/>
                <w:numId w:val="41"/>
              </w:numPr>
              <w:spacing w:before="120" w:after="120"/>
              <w:ind w:left="357" w:hanging="357"/>
              <w:rPr>
                <w:sz w:val="20"/>
              </w:rPr>
            </w:pPr>
            <w:r w:rsidRPr="00886ADB">
              <w:rPr>
                <w:rFonts w:cs="Arial"/>
                <w:sz w:val="20"/>
                <w:szCs w:val="20"/>
              </w:rPr>
              <w:t>policy development and projects</w:t>
            </w:r>
            <w:r w:rsidRPr="00C422CD">
              <w:rPr>
                <w:rFonts w:cs="Arial"/>
                <w:sz w:val="20"/>
                <w:szCs w:val="20"/>
              </w:rPr>
              <w:t>.</w:t>
            </w:r>
          </w:p>
        </w:tc>
        <w:tc>
          <w:tcPr>
            <w:tcW w:w="67" w:type="dxa"/>
            <w:tcBorders>
              <w:top w:val="single" w:sz="4" w:space="0" w:color="auto"/>
              <w:left w:val="nil"/>
              <w:bottom w:val="single" w:sz="4" w:space="0" w:color="auto"/>
            </w:tcBorders>
            <w:vAlign w:val="center"/>
            <w:hideMark/>
          </w:tcPr>
          <w:p w:rsidR="00CC4F46" w:rsidRPr="00886ADB" w:rsidRDefault="00CC4F46" w:rsidP="004E4200">
            <w:pPr>
              <w:rPr>
                <w:rFonts w:ascii="Calibri" w:eastAsiaTheme="minorHAnsi" w:hAnsi="Calibri"/>
                <w:sz w:val="20"/>
                <w:szCs w:val="22"/>
              </w:rPr>
            </w:pPr>
            <w:r w:rsidRPr="00886ADB">
              <w:rPr>
                <w:sz w:val="20"/>
              </w:rPr>
              <w:t> </w:t>
            </w:r>
          </w:p>
        </w:tc>
      </w:tr>
    </w:tbl>
    <w:p w:rsidR="00CC4F46" w:rsidRDefault="00CC4F46" w:rsidP="00CC4F46"/>
    <w:p w:rsidR="00CC4F46" w:rsidRDefault="00CC4F46" w:rsidP="00CC4F46">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CC4F46" w:rsidRPr="00886ADB" w:rsidTr="004E4200">
        <w:tc>
          <w:tcPr>
            <w:tcW w:w="67" w:type="dxa"/>
            <w:tcBorders>
              <w:top w:val="single" w:sz="4" w:space="0" w:color="auto"/>
              <w:bottom w:val="single" w:sz="4" w:space="0" w:color="auto"/>
              <w:right w:val="nil"/>
            </w:tcBorders>
            <w:vAlign w:val="center"/>
            <w:hideMark/>
          </w:tcPr>
          <w:p w:rsidR="00CC4F46" w:rsidRPr="00886ADB" w:rsidRDefault="00CC4F46" w:rsidP="004E4200">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CC4F46" w:rsidRPr="005C4D78" w:rsidRDefault="00CC4F46" w:rsidP="00CC4F46">
            <w:pPr>
              <w:pStyle w:val="ListParagraph"/>
              <w:numPr>
                <w:ilvl w:val="0"/>
                <w:numId w:val="42"/>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CC4F46" w:rsidRDefault="00CC4F46" w:rsidP="004E4200">
            <w:pPr>
              <w:tabs>
                <w:tab w:val="right" w:leader="dot" w:pos="6237"/>
              </w:tabs>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sidRPr="00CC4F46">
              <w:rPr>
                <w:rFonts w:eastAsia="Times New Roman" w:cs="Arial"/>
                <w:color w:val="000000"/>
                <w:sz w:val="20"/>
                <w:szCs w:val="20"/>
                <w:lang w:eastAsia="en-AU"/>
              </w:rPr>
              <w:t>$871,200</w:t>
            </w:r>
          </w:p>
          <w:p w:rsidR="00CC4F46" w:rsidRDefault="00CC4F46" w:rsidP="004E4200">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CC4F46" w:rsidRDefault="00CC4F46" w:rsidP="004E4200">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w:t>
            </w:r>
            <w:r>
              <w:rPr>
                <w:rFonts w:cs="Arial"/>
                <w:color w:val="000000"/>
                <w:sz w:val="20"/>
                <w:szCs w:val="20"/>
              </w:rPr>
              <w:t>0.50</w:t>
            </w:r>
            <w:r w:rsidRPr="008D042B">
              <w:rPr>
                <w:rFonts w:cs="Arial"/>
                <w:color w:val="000000" w:themeColor="text1"/>
                <w:sz w:val="20"/>
                <w:szCs w:val="20"/>
                <w:lang w:eastAsia="en-AU"/>
              </w:rPr>
              <w:t xml:space="preserve">%. </w:t>
            </w:r>
            <w:r>
              <w:rPr>
                <w:rFonts w:cs="Arial"/>
                <w:color w:val="000000" w:themeColor="text1"/>
                <w:sz w:val="20"/>
                <w:szCs w:val="20"/>
                <w:lang w:eastAsia="en-AU"/>
              </w:rPr>
              <w:t xml:space="preserve"> The percentage allocation for the Board in 2014/15 was 0.50%</w:t>
            </w:r>
            <w:r>
              <w:rPr>
                <w:rFonts w:cs="Arial"/>
                <w:color w:val="FF0000"/>
                <w:sz w:val="20"/>
                <w:szCs w:val="20"/>
                <w:lang w:eastAsia="en-AU"/>
              </w:rPr>
              <w:t>.</w:t>
            </w:r>
          </w:p>
          <w:p w:rsidR="00CC4F46" w:rsidRDefault="00CC4F46" w:rsidP="004E4200">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CC4F46" w:rsidRDefault="00CC4F46" w:rsidP="004E4200">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CC4F46" w:rsidRPr="00886ADB" w:rsidRDefault="00CC4F46" w:rsidP="004E4200">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2015/16 AHPRA business plan sets out AHPRA objectives for 2015/16 and how they will be achieved.</w:t>
            </w:r>
          </w:p>
        </w:tc>
        <w:tc>
          <w:tcPr>
            <w:tcW w:w="67" w:type="dxa"/>
            <w:tcBorders>
              <w:top w:val="single" w:sz="4" w:space="0" w:color="auto"/>
              <w:left w:val="nil"/>
              <w:bottom w:val="single" w:sz="4" w:space="0" w:color="auto"/>
            </w:tcBorders>
            <w:vAlign w:val="center"/>
            <w:hideMark/>
          </w:tcPr>
          <w:p w:rsidR="00CC4F46" w:rsidRPr="00886ADB" w:rsidRDefault="00CC4F46" w:rsidP="004E4200">
            <w:pPr>
              <w:rPr>
                <w:rFonts w:ascii="Times New Roman" w:eastAsia="Times New Roman" w:hAnsi="Times New Roman"/>
                <w:sz w:val="20"/>
                <w:szCs w:val="20"/>
              </w:rPr>
            </w:pPr>
          </w:p>
        </w:tc>
      </w:tr>
    </w:tbl>
    <w:p w:rsidR="00CC4F46" w:rsidRDefault="00CC4F46" w:rsidP="00CC4F46">
      <w:pPr>
        <w:pStyle w:val="AHPRAbody"/>
        <w:rPr>
          <w:b/>
        </w:rPr>
      </w:pPr>
    </w:p>
    <w:p w:rsidR="00CC4F46" w:rsidRDefault="00CC4F46">
      <w:pPr>
        <w:spacing w:after="0"/>
        <w:rPr>
          <w:b/>
        </w:rPr>
      </w:pPr>
    </w:p>
    <w:p w:rsidR="00310949" w:rsidRDefault="00310949">
      <w:pPr>
        <w:spacing w:after="0"/>
        <w:rPr>
          <w:rFonts w:cs="Arial"/>
          <w:b/>
          <w:sz w:val="20"/>
        </w:rPr>
      </w:pPr>
      <w:r>
        <w:rPr>
          <w:b/>
        </w:rPr>
        <w:br w:type="page"/>
      </w:r>
    </w:p>
    <w:p w:rsidR="007C7B7F" w:rsidRPr="007C7B7F" w:rsidRDefault="007C7B7F" w:rsidP="007C7B7F">
      <w:pPr>
        <w:pStyle w:val="AHPRADocumentsubheading"/>
      </w:pPr>
      <w:r w:rsidRPr="007C7B7F">
        <w:lastRenderedPageBreak/>
        <w:t xml:space="preserve">Schedule </w:t>
      </w:r>
      <w:r>
        <w:t xml:space="preserve">5: </w:t>
      </w:r>
      <w:r w:rsidR="00627F08">
        <w:t>Strategic performance and management framework</w:t>
      </w:r>
    </w:p>
    <w:p w:rsidR="00CC4F46" w:rsidRDefault="00CC4F46" w:rsidP="00CC4F46">
      <w:pPr>
        <w:pStyle w:val="AHPRAbody"/>
        <w:rPr>
          <w:b/>
          <w:color w:val="007DC3"/>
        </w:rPr>
      </w:pPr>
      <w:bookmarkStart w:id="1" w:name="_Toc419299752"/>
      <w:r>
        <w:rPr>
          <w:b/>
          <w:color w:val="007DC3"/>
        </w:rPr>
        <w:t>New performance reporting framework</w:t>
      </w:r>
      <w:bookmarkEnd w:id="1"/>
    </w:p>
    <w:p w:rsidR="00CC4F46" w:rsidRDefault="00CC4F46" w:rsidP="00AA45FA">
      <w:pPr>
        <w:pStyle w:val="Default"/>
        <w:spacing w:after="200"/>
        <w:rPr>
          <w:sz w:val="20"/>
          <w:szCs w:val="20"/>
        </w:rPr>
      </w:pPr>
      <w:r>
        <w:rPr>
          <w:sz w:val="20"/>
          <w:szCs w:val="20"/>
        </w:rPr>
        <w:t>At its June 2015 meeting, the National Board advised its preference for quarterly volume and trend data and approved the quarterly AHPRA performance report and volume and trend reports be inserted into Schedule 5 of the Health Profession Agreement.</w:t>
      </w:r>
    </w:p>
    <w:p w:rsidR="00CC4F46" w:rsidRPr="00AA45FA" w:rsidRDefault="00AA45FA" w:rsidP="00AA45FA">
      <w:pPr>
        <w:pStyle w:val="Default"/>
        <w:spacing w:after="200"/>
        <w:rPr>
          <w:sz w:val="20"/>
        </w:rPr>
      </w:pPr>
      <w:r w:rsidRPr="00CB5518">
        <w:rPr>
          <w:iCs/>
          <w:sz w:val="20"/>
        </w:rPr>
        <w:t>The reporting framework will be finalised by the end of Quarter 1 of 2015/16.</w:t>
      </w:r>
    </w:p>
    <w:sectPr w:rsidR="00CC4F46" w:rsidRPr="00AA45FA" w:rsidSect="00BB73E5">
      <w:headerReference w:type="even" r:id="rId22"/>
      <w:headerReference w:type="default" r:id="rId23"/>
      <w:headerReference w:type="first" r:id="rId24"/>
      <w:footerReference w:type="first" r:id="rId25"/>
      <w:pgSz w:w="11900" w:h="16840"/>
      <w:pgMar w:top="993"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E5" w:rsidRDefault="00BB73E5" w:rsidP="00FC2881">
      <w:pPr>
        <w:spacing w:after="0"/>
      </w:pPr>
      <w:r>
        <w:separator/>
      </w:r>
    </w:p>
    <w:p w:rsidR="00BB73E5" w:rsidRDefault="00BB73E5"/>
  </w:endnote>
  <w:endnote w:type="continuationSeparator" w:id="0">
    <w:p w:rsidR="00BB73E5" w:rsidRDefault="00BB73E5" w:rsidP="00FC2881">
      <w:pPr>
        <w:spacing w:after="0"/>
      </w:pPr>
      <w:r>
        <w:continuationSeparator/>
      </w:r>
    </w:p>
    <w:p w:rsidR="00BB73E5" w:rsidRDefault="00BB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607E8C" w:rsidRDefault="00BB73E5" w:rsidP="002C6D22">
    <w:pPr>
      <w:pStyle w:val="AHPRAfooter"/>
      <w:rPr>
        <w:szCs w:val="18"/>
      </w:rPr>
    </w:pPr>
    <w:r>
      <w:rPr>
        <w:szCs w:val="18"/>
      </w:rPr>
      <w:t>Health Profession Agreement 2015/16</w:t>
    </w:r>
  </w:p>
  <w:p w:rsidR="00BB73E5" w:rsidRPr="00607E8C" w:rsidRDefault="004877F0" w:rsidP="00607E8C">
    <w:pPr>
      <w:pStyle w:val="AHPRAfooter"/>
      <w:jc w:val="right"/>
      <w:rPr>
        <w:szCs w:val="18"/>
      </w:rPr>
    </w:pPr>
    <w:sdt>
      <w:sdtPr>
        <w:rPr>
          <w:szCs w:val="18"/>
        </w:rPr>
        <w:id w:val="8374046"/>
        <w:docPartObj>
          <w:docPartGallery w:val="Page Numbers (Top of Page)"/>
          <w:docPartUnique/>
        </w:docPartObj>
      </w:sdtPr>
      <w:sdtEndPr/>
      <w:sdtContent>
        <w:r w:rsidR="00BB73E5" w:rsidRPr="00607E8C">
          <w:rPr>
            <w:szCs w:val="18"/>
          </w:rPr>
          <w:t xml:space="preserve">Page </w:t>
        </w:r>
        <w:r w:rsidR="0061652F" w:rsidRPr="00607E8C">
          <w:rPr>
            <w:szCs w:val="18"/>
          </w:rPr>
          <w:fldChar w:fldCharType="begin"/>
        </w:r>
        <w:r w:rsidR="00BB73E5" w:rsidRPr="00607E8C">
          <w:rPr>
            <w:szCs w:val="18"/>
          </w:rPr>
          <w:instrText xml:space="preserve"> PAGE </w:instrText>
        </w:r>
        <w:r w:rsidR="0061652F" w:rsidRPr="00607E8C">
          <w:rPr>
            <w:szCs w:val="18"/>
          </w:rPr>
          <w:fldChar w:fldCharType="separate"/>
        </w:r>
        <w:r>
          <w:rPr>
            <w:noProof/>
            <w:szCs w:val="18"/>
          </w:rPr>
          <w:t>4</w:t>
        </w:r>
        <w:r w:rsidR="0061652F" w:rsidRPr="00607E8C">
          <w:rPr>
            <w:szCs w:val="18"/>
          </w:rPr>
          <w:fldChar w:fldCharType="end"/>
        </w:r>
        <w:r w:rsidR="00BB73E5" w:rsidRPr="00607E8C">
          <w:rPr>
            <w:szCs w:val="18"/>
          </w:rPr>
          <w:t xml:space="preserve"> of </w:t>
        </w:r>
        <w:r w:rsidR="0061652F" w:rsidRPr="00607E8C">
          <w:rPr>
            <w:szCs w:val="18"/>
          </w:rPr>
          <w:fldChar w:fldCharType="begin"/>
        </w:r>
        <w:r w:rsidR="00BB73E5" w:rsidRPr="00607E8C">
          <w:rPr>
            <w:szCs w:val="18"/>
          </w:rPr>
          <w:instrText xml:space="preserve"> NUMPAGES  </w:instrText>
        </w:r>
        <w:r w:rsidR="0061652F" w:rsidRPr="00607E8C">
          <w:rPr>
            <w:szCs w:val="18"/>
          </w:rPr>
          <w:fldChar w:fldCharType="separate"/>
        </w:r>
        <w:r>
          <w:rPr>
            <w:noProof/>
            <w:szCs w:val="18"/>
          </w:rPr>
          <w:t>19</w:t>
        </w:r>
        <w:r w:rsidR="0061652F"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E77E23" w:rsidRDefault="00BB73E5"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BB73E5" w:rsidRPr="00C76025" w:rsidRDefault="00BB73E5"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61652F" w:rsidP="00FC2881">
    <w:pPr>
      <w:pStyle w:val="AHPRAfootnote"/>
      <w:framePr w:wrap="around" w:vAnchor="text" w:hAnchor="margin" w:xAlign="right" w:y="1"/>
    </w:pPr>
    <w:r>
      <w:fldChar w:fldCharType="begin"/>
    </w:r>
    <w:r w:rsidR="00BB73E5">
      <w:instrText xml:space="preserve">PAGE  </w:instrText>
    </w:r>
    <w:r>
      <w:fldChar w:fldCharType="end"/>
    </w:r>
  </w:p>
  <w:p w:rsidR="00BB73E5" w:rsidRDefault="00BB73E5" w:rsidP="00FC2881">
    <w:pPr>
      <w:pStyle w:val="AHPRAfootnote"/>
      <w:ind w:right="360"/>
    </w:pPr>
  </w:p>
  <w:p w:rsidR="00BB73E5" w:rsidRDefault="00BB73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607E8C" w:rsidRDefault="00BB73E5" w:rsidP="00607E8C">
    <w:pPr>
      <w:pStyle w:val="AHPRAfooter"/>
      <w:rPr>
        <w:szCs w:val="18"/>
      </w:rPr>
    </w:pPr>
    <w:r>
      <w:rPr>
        <w:szCs w:val="18"/>
      </w:rPr>
      <w:t>Health Profession Agreement 2015/16</w:t>
    </w:r>
  </w:p>
  <w:p w:rsidR="00BB73E5" w:rsidRPr="006A0BC7" w:rsidRDefault="004877F0" w:rsidP="00607E8C">
    <w:pPr>
      <w:pStyle w:val="AHPRAfooter"/>
      <w:spacing w:after="200"/>
      <w:jc w:val="right"/>
    </w:pPr>
    <w:sdt>
      <w:sdtPr>
        <w:rPr>
          <w:szCs w:val="18"/>
        </w:rPr>
        <w:id w:val="9138970"/>
        <w:docPartObj>
          <w:docPartGallery w:val="Page Numbers (Top of Page)"/>
          <w:docPartUnique/>
        </w:docPartObj>
      </w:sdtPr>
      <w:sdtEndPr/>
      <w:sdtContent>
        <w:r w:rsidR="00BB73E5" w:rsidRPr="00607E8C">
          <w:rPr>
            <w:szCs w:val="18"/>
          </w:rPr>
          <w:t xml:space="preserve">Page </w:t>
        </w:r>
        <w:r w:rsidR="0061652F" w:rsidRPr="00607E8C">
          <w:rPr>
            <w:szCs w:val="18"/>
          </w:rPr>
          <w:fldChar w:fldCharType="begin"/>
        </w:r>
        <w:r w:rsidR="00BB73E5" w:rsidRPr="00607E8C">
          <w:rPr>
            <w:szCs w:val="18"/>
          </w:rPr>
          <w:instrText xml:space="preserve"> PAGE </w:instrText>
        </w:r>
        <w:r w:rsidR="0061652F" w:rsidRPr="00607E8C">
          <w:rPr>
            <w:szCs w:val="18"/>
          </w:rPr>
          <w:fldChar w:fldCharType="separate"/>
        </w:r>
        <w:r>
          <w:rPr>
            <w:noProof/>
            <w:szCs w:val="18"/>
          </w:rPr>
          <w:t>13</w:t>
        </w:r>
        <w:r w:rsidR="0061652F" w:rsidRPr="00607E8C">
          <w:rPr>
            <w:szCs w:val="18"/>
          </w:rPr>
          <w:fldChar w:fldCharType="end"/>
        </w:r>
        <w:r w:rsidR="00BB73E5" w:rsidRPr="00607E8C">
          <w:rPr>
            <w:szCs w:val="18"/>
          </w:rPr>
          <w:t xml:space="preserve"> of </w:t>
        </w:r>
        <w:r w:rsidR="0061652F" w:rsidRPr="00607E8C">
          <w:rPr>
            <w:szCs w:val="18"/>
          </w:rPr>
          <w:fldChar w:fldCharType="begin"/>
        </w:r>
        <w:r w:rsidR="00BB73E5" w:rsidRPr="00607E8C">
          <w:rPr>
            <w:szCs w:val="18"/>
          </w:rPr>
          <w:instrText xml:space="preserve"> NUMPAGES  </w:instrText>
        </w:r>
        <w:r w:rsidR="0061652F" w:rsidRPr="00607E8C">
          <w:rPr>
            <w:szCs w:val="18"/>
          </w:rPr>
          <w:fldChar w:fldCharType="separate"/>
        </w:r>
        <w:r>
          <w:rPr>
            <w:noProof/>
            <w:szCs w:val="18"/>
          </w:rPr>
          <w:t>19</w:t>
        </w:r>
        <w:r w:rsidR="0061652F"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607E8C" w:rsidRDefault="00BB73E5" w:rsidP="00607E8C">
    <w:pPr>
      <w:pStyle w:val="AHPRAfooter"/>
      <w:rPr>
        <w:szCs w:val="18"/>
      </w:rPr>
    </w:pPr>
    <w:r>
      <w:rPr>
        <w:szCs w:val="18"/>
      </w:rPr>
      <w:t>Health Profession Agreement 2015/16</w:t>
    </w:r>
  </w:p>
  <w:p w:rsidR="00BB73E5" w:rsidRPr="006A0BC7" w:rsidRDefault="004877F0" w:rsidP="00607E8C">
    <w:pPr>
      <w:pStyle w:val="AHPRAfooter"/>
      <w:spacing w:after="200"/>
      <w:jc w:val="right"/>
    </w:pPr>
    <w:sdt>
      <w:sdtPr>
        <w:rPr>
          <w:szCs w:val="18"/>
        </w:rPr>
        <w:id w:val="9138969"/>
        <w:docPartObj>
          <w:docPartGallery w:val="Page Numbers (Top of Page)"/>
          <w:docPartUnique/>
        </w:docPartObj>
      </w:sdtPr>
      <w:sdtEndPr/>
      <w:sdtContent>
        <w:r w:rsidR="00BB73E5" w:rsidRPr="00607E8C">
          <w:rPr>
            <w:szCs w:val="18"/>
          </w:rPr>
          <w:t xml:space="preserve">Page </w:t>
        </w:r>
        <w:r w:rsidR="0061652F" w:rsidRPr="00607E8C">
          <w:rPr>
            <w:szCs w:val="18"/>
          </w:rPr>
          <w:fldChar w:fldCharType="begin"/>
        </w:r>
        <w:r w:rsidR="00BB73E5" w:rsidRPr="00607E8C">
          <w:rPr>
            <w:szCs w:val="18"/>
          </w:rPr>
          <w:instrText xml:space="preserve"> PAGE </w:instrText>
        </w:r>
        <w:r w:rsidR="0061652F" w:rsidRPr="00607E8C">
          <w:rPr>
            <w:szCs w:val="18"/>
          </w:rPr>
          <w:fldChar w:fldCharType="separate"/>
        </w:r>
        <w:r>
          <w:rPr>
            <w:noProof/>
            <w:szCs w:val="18"/>
          </w:rPr>
          <w:t>7</w:t>
        </w:r>
        <w:r w:rsidR="0061652F" w:rsidRPr="00607E8C">
          <w:rPr>
            <w:szCs w:val="18"/>
          </w:rPr>
          <w:fldChar w:fldCharType="end"/>
        </w:r>
        <w:r w:rsidR="00BB73E5" w:rsidRPr="00607E8C">
          <w:rPr>
            <w:szCs w:val="18"/>
          </w:rPr>
          <w:t xml:space="preserve"> of </w:t>
        </w:r>
        <w:r w:rsidR="0061652F" w:rsidRPr="00607E8C">
          <w:rPr>
            <w:szCs w:val="18"/>
          </w:rPr>
          <w:fldChar w:fldCharType="begin"/>
        </w:r>
        <w:r w:rsidR="00BB73E5" w:rsidRPr="00607E8C">
          <w:rPr>
            <w:szCs w:val="18"/>
          </w:rPr>
          <w:instrText xml:space="preserve"> NUMPAGES  </w:instrText>
        </w:r>
        <w:r w:rsidR="0061652F" w:rsidRPr="00607E8C">
          <w:rPr>
            <w:szCs w:val="18"/>
          </w:rPr>
          <w:fldChar w:fldCharType="separate"/>
        </w:r>
        <w:r>
          <w:rPr>
            <w:noProof/>
            <w:szCs w:val="18"/>
          </w:rPr>
          <w:t>19</w:t>
        </w:r>
        <w:r w:rsidR="0061652F"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607E8C" w:rsidRDefault="00BB73E5" w:rsidP="00607E8C">
    <w:pPr>
      <w:pStyle w:val="AHPRAfooter"/>
      <w:rPr>
        <w:szCs w:val="18"/>
      </w:rPr>
    </w:pPr>
    <w:r>
      <w:rPr>
        <w:szCs w:val="18"/>
      </w:rPr>
      <w:t>Health Profession Agreement 2015/16</w:t>
    </w:r>
  </w:p>
  <w:p w:rsidR="00BB73E5" w:rsidRPr="006A0BC7" w:rsidRDefault="004877F0" w:rsidP="00607E8C">
    <w:pPr>
      <w:pStyle w:val="AHPRAfooter"/>
      <w:spacing w:after="200"/>
      <w:jc w:val="right"/>
    </w:pPr>
    <w:sdt>
      <w:sdtPr>
        <w:rPr>
          <w:szCs w:val="18"/>
        </w:rPr>
        <w:id w:val="9138971"/>
        <w:docPartObj>
          <w:docPartGallery w:val="Page Numbers (Top of Page)"/>
          <w:docPartUnique/>
        </w:docPartObj>
      </w:sdtPr>
      <w:sdtEndPr/>
      <w:sdtContent>
        <w:r w:rsidR="00BB73E5" w:rsidRPr="00607E8C">
          <w:rPr>
            <w:szCs w:val="18"/>
          </w:rPr>
          <w:t xml:space="preserve">Page </w:t>
        </w:r>
        <w:r w:rsidR="0061652F" w:rsidRPr="00607E8C">
          <w:rPr>
            <w:szCs w:val="18"/>
          </w:rPr>
          <w:fldChar w:fldCharType="begin"/>
        </w:r>
        <w:r w:rsidR="00BB73E5" w:rsidRPr="00607E8C">
          <w:rPr>
            <w:szCs w:val="18"/>
          </w:rPr>
          <w:instrText xml:space="preserve"> PAGE </w:instrText>
        </w:r>
        <w:r w:rsidR="0061652F" w:rsidRPr="00607E8C">
          <w:rPr>
            <w:szCs w:val="18"/>
          </w:rPr>
          <w:fldChar w:fldCharType="separate"/>
        </w:r>
        <w:r>
          <w:rPr>
            <w:noProof/>
            <w:szCs w:val="18"/>
          </w:rPr>
          <w:t>14</w:t>
        </w:r>
        <w:r w:rsidR="0061652F" w:rsidRPr="00607E8C">
          <w:rPr>
            <w:szCs w:val="18"/>
          </w:rPr>
          <w:fldChar w:fldCharType="end"/>
        </w:r>
        <w:r w:rsidR="00BB73E5" w:rsidRPr="00607E8C">
          <w:rPr>
            <w:szCs w:val="18"/>
          </w:rPr>
          <w:t xml:space="preserve"> of </w:t>
        </w:r>
        <w:r w:rsidR="0061652F" w:rsidRPr="00607E8C">
          <w:rPr>
            <w:szCs w:val="18"/>
          </w:rPr>
          <w:fldChar w:fldCharType="begin"/>
        </w:r>
        <w:r w:rsidR="00BB73E5" w:rsidRPr="00607E8C">
          <w:rPr>
            <w:szCs w:val="18"/>
          </w:rPr>
          <w:instrText xml:space="preserve"> NUMPAGES  </w:instrText>
        </w:r>
        <w:r w:rsidR="0061652F" w:rsidRPr="00607E8C">
          <w:rPr>
            <w:szCs w:val="18"/>
          </w:rPr>
          <w:fldChar w:fldCharType="separate"/>
        </w:r>
        <w:r>
          <w:rPr>
            <w:noProof/>
            <w:szCs w:val="18"/>
          </w:rPr>
          <w:t>19</w:t>
        </w:r>
        <w:r w:rsidR="0061652F"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607E8C" w:rsidRDefault="00BB73E5" w:rsidP="00607E8C">
    <w:pPr>
      <w:pStyle w:val="AHPRAfooter"/>
      <w:rPr>
        <w:szCs w:val="18"/>
      </w:rPr>
    </w:pPr>
    <w:r>
      <w:rPr>
        <w:szCs w:val="18"/>
      </w:rPr>
      <w:t>Health Profession Agreement 2015/16</w:t>
    </w:r>
  </w:p>
  <w:p w:rsidR="00BB73E5" w:rsidRPr="006A0BC7" w:rsidRDefault="004877F0" w:rsidP="00607E8C">
    <w:pPr>
      <w:pStyle w:val="AHPRAfooter"/>
      <w:spacing w:after="200"/>
      <w:jc w:val="right"/>
    </w:pPr>
    <w:sdt>
      <w:sdtPr>
        <w:rPr>
          <w:szCs w:val="18"/>
        </w:rPr>
        <w:id w:val="9138972"/>
        <w:docPartObj>
          <w:docPartGallery w:val="Page Numbers (Top of Page)"/>
          <w:docPartUnique/>
        </w:docPartObj>
      </w:sdtPr>
      <w:sdtEndPr/>
      <w:sdtContent>
        <w:r w:rsidR="00BB73E5" w:rsidRPr="00607E8C">
          <w:rPr>
            <w:szCs w:val="18"/>
          </w:rPr>
          <w:t xml:space="preserve">Page </w:t>
        </w:r>
        <w:r w:rsidR="0061652F" w:rsidRPr="00607E8C">
          <w:rPr>
            <w:szCs w:val="18"/>
          </w:rPr>
          <w:fldChar w:fldCharType="begin"/>
        </w:r>
        <w:r w:rsidR="00BB73E5" w:rsidRPr="00607E8C">
          <w:rPr>
            <w:szCs w:val="18"/>
          </w:rPr>
          <w:instrText xml:space="preserve"> PAGE </w:instrText>
        </w:r>
        <w:r w:rsidR="0061652F" w:rsidRPr="00607E8C">
          <w:rPr>
            <w:szCs w:val="18"/>
          </w:rPr>
          <w:fldChar w:fldCharType="separate"/>
        </w:r>
        <w:r>
          <w:rPr>
            <w:noProof/>
            <w:szCs w:val="18"/>
          </w:rPr>
          <w:t>15</w:t>
        </w:r>
        <w:r w:rsidR="0061652F" w:rsidRPr="00607E8C">
          <w:rPr>
            <w:szCs w:val="18"/>
          </w:rPr>
          <w:fldChar w:fldCharType="end"/>
        </w:r>
        <w:r w:rsidR="00BB73E5" w:rsidRPr="00607E8C">
          <w:rPr>
            <w:szCs w:val="18"/>
          </w:rPr>
          <w:t xml:space="preserve"> of </w:t>
        </w:r>
        <w:r w:rsidR="0061652F" w:rsidRPr="00607E8C">
          <w:rPr>
            <w:szCs w:val="18"/>
          </w:rPr>
          <w:fldChar w:fldCharType="begin"/>
        </w:r>
        <w:r w:rsidR="00BB73E5" w:rsidRPr="00607E8C">
          <w:rPr>
            <w:szCs w:val="18"/>
          </w:rPr>
          <w:instrText xml:space="preserve"> NUMPAGES  </w:instrText>
        </w:r>
        <w:r w:rsidR="0061652F" w:rsidRPr="00607E8C">
          <w:rPr>
            <w:szCs w:val="18"/>
          </w:rPr>
          <w:fldChar w:fldCharType="separate"/>
        </w:r>
        <w:r>
          <w:rPr>
            <w:noProof/>
            <w:szCs w:val="18"/>
          </w:rPr>
          <w:t>19</w:t>
        </w:r>
        <w:r w:rsidR="0061652F"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E5" w:rsidRDefault="00BB73E5" w:rsidP="000E7E28">
      <w:pPr>
        <w:spacing w:after="0"/>
      </w:pPr>
      <w:r>
        <w:separator/>
      </w:r>
    </w:p>
  </w:footnote>
  <w:footnote w:type="continuationSeparator" w:id="0">
    <w:p w:rsidR="00BB73E5" w:rsidRDefault="00BB73E5" w:rsidP="00FC2881">
      <w:pPr>
        <w:spacing w:after="0"/>
      </w:pPr>
      <w:r>
        <w:continuationSeparator/>
      </w:r>
    </w:p>
    <w:p w:rsidR="00BB73E5" w:rsidRDefault="00BB73E5"/>
  </w:footnote>
  <w:footnote w:type="continuationNotice" w:id="1">
    <w:p w:rsidR="00BB73E5" w:rsidRDefault="00BB73E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48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59" o:spid="_x0000_s2052" type="#_x0000_t136" style="position:absolute;margin-left:0;margin-top:0;width:545.4pt;height:90.9pt;rotation:315;z-index:-251654144;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BB73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E32E42" w:rsidRDefault="00BB73E5"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814288" w:rsidRDefault="00BB73E5" w:rsidP="00814288">
    <w:pPr>
      <w:pStyle w:val="Header"/>
      <w:tabs>
        <w:tab w:val="clear" w:pos="4513"/>
        <w:tab w:val="clear" w:pos="9026"/>
        <w:tab w:val="left" w:pos="2825"/>
      </w:tabs>
      <w:spacing w:after="0"/>
      <w:jc w:val="right"/>
      <w:rPr>
        <w:rFonts w:cs="Arial"/>
        <w:sz w:val="22"/>
        <w:szCs w:val="22"/>
      </w:rPr>
    </w:pPr>
    <w:r w:rsidRPr="0028696A">
      <w:rPr>
        <w:rFonts w:cs="Arial"/>
        <w:noProof/>
        <w:sz w:val="22"/>
        <w:szCs w:val="22"/>
        <w:lang w:eastAsia="en-AU"/>
      </w:rPr>
      <w:drawing>
        <wp:inline distT="0" distB="0" distL="0" distR="0">
          <wp:extent cx="2376264" cy="1481037"/>
          <wp:effectExtent l="0" t="0" r="0" b="0"/>
          <wp:docPr id="2" name="Picture 1" descr="Chinese Medicine Board of Australia and AHPRA logo. "/>
          <wp:cNvGraphicFramePr/>
          <a:graphic xmlns:a="http://schemas.openxmlformats.org/drawingml/2006/main">
            <a:graphicData uri="http://schemas.openxmlformats.org/drawingml/2006/picture">
              <pic:pic xmlns:pic="http://schemas.openxmlformats.org/drawingml/2006/picture">
                <pic:nvPicPr>
                  <pic:cNvPr id="4" name="Picture 23"/>
                  <pic:cNvPicPr>
                    <a:picLocks noChangeAspect="1" noChangeArrowheads="1"/>
                  </pic:cNvPicPr>
                </pic:nvPicPr>
                <pic:blipFill>
                  <a:blip r:embed="rId1" cstate="print"/>
                  <a:srcRect/>
                  <a:stretch>
                    <a:fillRect/>
                  </a:stretch>
                </pic:blipFill>
                <pic:spPr bwMode="auto">
                  <a:xfrm>
                    <a:off x="0" y="0"/>
                    <a:ext cx="2376264" cy="148103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48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2" o:spid="_x0000_s2055" type="#_x0000_t136" style="position:absolute;margin-left:0;margin-top:0;width:545.4pt;height:90.9pt;rotation:315;z-index:-251648000;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E32E42" w:rsidRDefault="00BB73E5">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Pr="00E32E42" w:rsidRDefault="00BB73E5" w:rsidP="00E844A0">
    <w:pP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48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5" o:spid="_x0000_s2058" type="#_x0000_t136" style="position:absolute;margin-left:0;margin-top:0;width:545.4pt;height:90.9pt;rotation:315;z-index:-251641856;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48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6" o:spid="_x0000_s2059" type="#_x0000_t136" style="position:absolute;margin-left:0;margin-top:0;width:545.4pt;height:90.9pt;rotation:315;z-index:-251639808;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BB73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E5" w:rsidRDefault="004877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8" o:spid="_x0000_s2061" type="#_x0000_t136" style="position:absolute;margin-left:0;margin-top:0;width:545.4pt;height:90.9pt;rotation:315;z-index:-251635712;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FF4472D"/>
    <w:multiLevelType w:val="hybridMultilevel"/>
    <w:tmpl w:val="9D822CC4"/>
    <w:lvl w:ilvl="0" w:tplc="18BAE7D2">
      <w:start w:val="1"/>
      <w:numFmt w:val="decimal"/>
      <w:lvlText w:val="2.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2559A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4C7CDB"/>
    <w:multiLevelType w:val="hybridMultilevel"/>
    <w:tmpl w:val="187ED982"/>
    <w:lvl w:ilvl="0" w:tplc="3A261A16">
      <w:start w:val="1"/>
      <w:numFmt w:val="decimal"/>
      <w:lvlText w:val="%1."/>
      <w:lvlJc w:val="left"/>
      <w:pPr>
        <w:ind w:left="1080" w:hanging="720"/>
      </w:pPr>
      <w:rPr>
        <w:rFonts w:hint="default"/>
      </w:rPr>
    </w:lvl>
    <w:lvl w:ilvl="1" w:tplc="D3FCFD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61A4"/>
    <w:multiLevelType w:val="hybridMultilevel"/>
    <w:tmpl w:val="4FCA4B36"/>
    <w:lvl w:ilvl="0" w:tplc="87403F3C">
      <w:start w:val="1"/>
      <w:numFmt w:val="decimal"/>
      <w:lvlText w:val="4.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82513"/>
    <w:multiLevelType w:val="hybridMultilevel"/>
    <w:tmpl w:val="E132EB9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10B7FF0"/>
    <w:multiLevelType w:val="hybridMultilevel"/>
    <w:tmpl w:val="013A7310"/>
    <w:lvl w:ilvl="0" w:tplc="BBCC252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AFDABD30">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1" w15:restartNumberingAfterBreak="0">
    <w:nsid w:val="48AD608B"/>
    <w:multiLevelType w:val="hybridMultilevel"/>
    <w:tmpl w:val="05F8534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A92"/>
    <w:multiLevelType w:val="hybridMultilevel"/>
    <w:tmpl w:val="86D627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4138C"/>
    <w:multiLevelType w:val="hybridMultilevel"/>
    <w:tmpl w:val="FB3CD968"/>
    <w:lvl w:ilvl="0" w:tplc="0C7418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0E0FC5"/>
    <w:multiLevelType w:val="hybridMultilevel"/>
    <w:tmpl w:val="7B5AD108"/>
    <w:lvl w:ilvl="0" w:tplc="00FE6DB2">
      <w:start w:val="1"/>
      <w:numFmt w:val="decimal"/>
      <w:lvlText w:val="%1."/>
      <w:lvlJc w:val="left"/>
      <w:pPr>
        <w:ind w:left="720" w:hanging="360"/>
      </w:pPr>
    </w:lvl>
    <w:lvl w:ilvl="1" w:tplc="D25A64CA" w:tentative="1">
      <w:start w:val="1"/>
      <w:numFmt w:val="lowerLetter"/>
      <w:lvlText w:val="%2."/>
      <w:lvlJc w:val="left"/>
      <w:pPr>
        <w:ind w:left="1440" w:hanging="360"/>
      </w:pPr>
    </w:lvl>
    <w:lvl w:ilvl="2" w:tplc="11A08F30" w:tentative="1">
      <w:start w:val="1"/>
      <w:numFmt w:val="lowerRoman"/>
      <w:lvlText w:val="%3."/>
      <w:lvlJc w:val="right"/>
      <w:pPr>
        <w:ind w:left="2160" w:hanging="180"/>
      </w:pPr>
    </w:lvl>
    <w:lvl w:ilvl="3" w:tplc="ADF8859A" w:tentative="1">
      <w:start w:val="1"/>
      <w:numFmt w:val="decimal"/>
      <w:lvlText w:val="%4."/>
      <w:lvlJc w:val="left"/>
      <w:pPr>
        <w:ind w:left="2880" w:hanging="360"/>
      </w:pPr>
    </w:lvl>
    <w:lvl w:ilvl="4" w:tplc="CA3A9B0C" w:tentative="1">
      <w:start w:val="1"/>
      <w:numFmt w:val="lowerLetter"/>
      <w:lvlText w:val="%5."/>
      <w:lvlJc w:val="left"/>
      <w:pPr>
        <w:ind w:left="3600" w:hanging="360"/>
      </w:pPr>
    </w:lvl>
    <w:lvl w:ilvl="5" w:tplc="93745B18" w:tentative="1">
      <w:start w:val="1"/>
      <w:numFmt w:val="lowerRoman"/>
      <w:lvlText w:val="%6."/>
      <w:lvlJc w:val="right"/>
      <w:pPr>
        <w:ind w:left="4320" w:hanging="180"/>
      </w:pPr>
    </w:lvl>
    <w:lvl w:ilvl="6" w:tplc="390CCD38" w:tentative="1">
      <w:start w:val="1"/>
      <w:numFmt w:val="decimal"/>
      <w:lvlText w:val="%7."/>
      <w:lvlJc w:val="left"/>
      <w:pPr>
        <w:ind w:left="5040" w:hanging="360"/>
      </w:pPr>
    </w:lvl>
    <w:lvl w:ilvl="7" w:tplc="8A6E23CA" w:tentative="1">
      <w:start w:val="1"/>
      <w:numFmt w:val="lowerLetter"/>
      <w:lvlText w:val="%8."/>
      <w:lvlJc w:val="left"/>
      <w:pPr>
        <w:ind w:left="5760" w:hanging="360"/>
      </w:pPr>
    </w:lvl>
    <w:lvl w:ilvl="8" w:tplc="5B94A534" w:tentative="1">
      <w:start w:val="1"/>
      <w:numFmt w:val="lowerRoman"/>
      <w:lvlText w:val="%9."/>
      <w:lvlJc w:val="right"/>
      <w:pPr>
        <w:ind w:left="6480" w:hanging="180"/>
      </w:pPr>
    </w:lvl>
  </w:abstractNum>
  <w:abstractNum w:abstractNumId="25" w15:restartNumberingAfterBreak="0">
    <w:nsid w:val="6ACC55E0"/>
    <w:multiLevelType w:val="hybridMultilevel"/>
    <w:tmpl w:val="C96835DA"/>
    <w:lvl w:ilvl="0" w:tplc="CF38578C">
      <w:start w:val="1"/>
      <w:numFmt w:val="bullet"/>
      <w:pStyle w:val="AHPRABulletlevel3"/>
      <w:lvlText w:val="o"/>
      <w:lvlJc w:val="left"/>
      <w:pPr>
        <w:ind w:left="1440" w:hanging="360"/>
      </w:pPr>
      <w:rPr>
        <w:rFonts w:ascii="Courier New" w:hAnsi="Courier New" w:cs="Courier New" w:hint="default"/>
      </w:rPr>
    </w:lvl>
    <w:lvl w:ilvl="1" w:tplc="F0EC2C56" w:tentative="1">
      <w:start w:val="1"/>
      <w:numFmt w:val="bullet"/>
      <w:lvlText w:val="o"/>
      <w:lvlJc w:val="left"/>
      <w:pPr>
        <w:ind w:left="2160" w:hanging="360"/>
      </w:pPr>
      <w:rPr>
        <w:rFonts w:ascii="Courier New" w:hAnsi="Courier New" w:cs="Courier New" w:hint="default"/>
      </w:rPr>
    </w:lvl>
    <w:lvl w:ilvl="2" w:tplc="24EE48E2" w:tentative="1">
      <w:start w:val="1"/>
      <w:numFmt w:val="bullet"/>
      <w:lvlText w:val=""/>
      <w:lvlJc w:val="left"/>
      <w:pPr>
        <w:ind w:left="2880" w:hanging="360"/>
      </w:pPr>
      <w:rPr>
        <w:rFonts w:ascii="Wingdings" w:hAnsi="Wingdings" w:hint="default"/>
      </w:rPr>
    </w:lvl>
    <w:lvl w:ilvl="3" w:tplc="6AA48730" w:tentative="1">
      <w:start w:val="1"/>
      <w:numFmt w:val="bullet"/>
      <w:lvlText w:val=""/>
      <w:lvlJc w:val="left"/>
      <w:pPr>
        <w:ind w:left="3600" w:hanging="360"/>
      </w:pPr>
      <w:rPr>
        <w:rFonts w:ascii="Symbol" w:hAnsi="Symbol" w:hint="default"/>
      </w:rPr>
    </w:lvl>
    <w:lvl w:ilvl="4" w:tplc="BC06E908" w:tentative="1">
      <w:start w:val="1"/>
      <w:numFmt w:val="bullet"/>
      <w:lvlText w:val="o"/>
      <w:lvlJc w:val="left"/>
      <w:pPr>
        <w:ind w:left="4320" w:hanging="360"/>
      </w:pPr>
      <w:rPr>
        <w:rFonts w:ascii="Courier New" w:hAnsi="Courier New" w:cs="Courier New" w:hint="default"/>
      </w:rPr>
    </w:lvl>
    <w:lvl w:ilvl="5" w:tplc="949A8582" w:tentative="1">
      <w:start w:val="1"/>
      <w:numFmt w:val="bullet"/>
      <w:lvlText w:val=""/>
      <w:lvlJc w:val="left"/>
      <w:pPr>
        <w:ind w:left="5040" w:hanging="360"/>
      </w:pPr>
      <w:rPr>
        <w:rFonts w:ascii="Wingdings" w:hAnsi="Wingdings" w:hint="default"/>
      </w:rPr>
    </w:lvl>
    <w:lvl w:ilvl="6" w:tplc="4D64636C" w:tentative="1">
      <w:start w:val="1"/>
      <w:numFmt w:val="bullet"/>
      <w:lvlText w:val=""/>
      <w:lvlJc w:val="left"/>
      <w:pPr>
        <w:ind w:left="5760" w:hanging="360"/>
      </w:pPr>
      <w:rPr>
        <w:rFonts w:ascii="Symbol" w:hAnsi="Symbol" w:hint="default"/>
      </w:rPr>
    </w:lvl>
    <w:lvl w:ilvl="7" w:tplc="8B886A54" w:tentative="1">
      <w:start w:val="1"/>
      <w:numFmt w:val="bullet"/>
      <w:lvlText w:val="o"/>
      <w:lvlJc w:val="left"/>
      <w:pPr>
        <w:ind w:left="6480" w:hanging="360"/>
      </w:pPr>
      <w:rPr>
        <w:rFonts w:ascii="Courier New" w:hAnsi="Courier New" w:cs="Courier New" w:hint="default"/>
      </w:rPr>
    </w:lvl>
    <w:lvl w:ilvl="8" w:tplc="B74A3F3A" w:tentative="1">
      <w:start w:val="1"/>
      <w:numFmt w:val="bullet"/>
      <w:lvlText w:val=""/>
      <w:lvlJc w:val="left"/>
      <w:pPr>
        <w:ind w:left="7200" w:hanging="360"/>
      </w:pPr>
      <w:rPr>
        <w:rFonts w:ascii="Wingdings" w:hAnsi="Wingdings" w:hint="default"/>
      </w:rPr>
    </w:lvl>
  </w:abstractNum>
  <w:abstractNum w:abstractNumId="26" w15:restartNumberingAfterBreak="0">
    <w:nsid w:val="6E16209F"/>
    <w:multiLevelType w:val="hybridMultilevel"/>
    <w:tmpl w:val="5FFA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2610BB"/>
    <w:multiLevelType w:val="hybridMultilevel"/>
    <w:tmpl w:val="FF68D3AC"/>
    <w:lvl w:ilvl="0" w:tplc="9C7CD450">
      <w:start w:val="1"/>
      <w:numFmt w:val="bullet"/>
      <w:pStyle w:val="AHPRABulletlevel2"/>
      <w:lvlText w:val=""/>
      <w:lvlJc w:val="left"/>
      <w:pPr>
        <w:ind w:left="720" w:hanging="360"/>
      </w:pPr>
      <w:rPr>
        <w:rFonts w:ascii="Symbol" w:hAnsi="Symbol" w:hint="default"/>
      </w:rPr>
    </w:lvl>
    <w:lvl w:ilvl="1" w:tplc="79649134" w:tentative="1">
      <w:start w:val="1"/>
      <w:numFmt w:val="bullet"/>
      <w:lvlText w:val="o"/>
      <w:lvlJc w:val="left"/>
      <w:pPr>
        <w:ind w:left="1440" w:hanging="360"/>
      </w:pPr>
      <w:rPr>
        <w:rFonts w:ascii="Courier New" w:hAnsi="Courier New" w:cs="Courier New" w:hint="default"/>
      </w:rPr>
    </w:lvl>
    <w:lvl w:ilvl="2" w:tplc="1542E470" w:tentative="1">
      <w:start w:val="1"/>
      <w:numFmt w:val="bullet"/>
      <w:lvlText w:val=""/>
      <w:lvlJc w:val="left"/>
      <w:pPr>
        <w:ind w:left="2160" w:hanging="360"/>
      </w:pPr>
      <w:rPr>
        <w:rFonts w:ascii="Wingdings" w:hAnsi="Wingdings" w:hint="default"/>
      </w:rPr>
    </w:lvl>
    <w:lvl w:ilvl="3" w:tplc="4DA2AA22" w:tentative="1">
      <w:start w:val="1"/>
      <w:numFmt w:val="bullet"/>
      <w:lvlText w:val=""/>
      <w:lvlJc w:val="left"/>
      <w:pPr>
        <w:ind w:left="2880" w:hanging="360"/>
      </w:pPr>
      <w:rPr>
        <w:rFonts w:ascii="Symbol" w:hAnsi="Symbol" w:hint="default"/>
      </w:rPr>
    </w:lvl>
    <w:lvl w:ilvl="4" w:tplc="4B0A114A" w:tentative="1">
      <w:start w:val="1"/>
      <w:numFmt w:val="bullet"/>
      <w:lvlText w:val="o"/>
      <w:lvlJc w:val="left"/>
      <w:pPr>
        <w:ind w:left="3600" w:hanging="360"/>
      </w:pPr>
      <w:rPr>
        <w:rFonts w:ascii="Courier New" w:hAnsi="Courier New" w:cs="Courier New" w:hint="default"/>
      </w:rPr>
    </w:lvl>
    <w:lvl w:ilvl="5" w:tplc="9556990E" w:tentative="1">
      <w:start w:val="1"/>
      <w:numFmt w:val="bullet"/>
      <w:lvlText w:val=""/>
      <w:lvlJc w:val="left"/>
      <w:pPr>
        <w:ind w:left="4320" w:hanging="360"/>
      </w:pPr>
      <w:rPr>
        <w:rFonts w:ascii="Wingdings" w:hAnsi="Wingdings" w:hint="default"/>
      </w:rPr>
    </w:lvl>
    <w:lvl w:ilvl="6" w:tplc="3C3AF786" w:tentative="1">
      <w:start w:val="1"/>
      <w:numFmt w:val="bullet"/>
      <w:lvlText w:val=""/>
      <w:lvlJc w:val="left"/>
      <w:pPr>
        <w:ind w:left="5040" w:hanging="360"/>
      </w:pPr>
      <w:rPr>
        <w:rFonts w:ascii="Symbol" w:hAnsi="Symbol" w:hint="default"/>
      </w:rPr>
    </w:lvl>
    <w:lvl w:ilvl="7" w:tplc="9C108162" w:tentative="1">
      <w:start w:val="1"/>
      <w:numFmt w:val="bullet"/>
      <w:lvlText w:val="o"/>
      <w:lvlJc w:val="left"/>
      <w:pPr>
        <w:ind w:left="5760" w:hanging="360"/>
      </w:pPr>
      <w:rPr>
        <w:rFonts w:ascii="Courier New" w:hAnsi="Courier New" w:cs="Courier New" w:hint="default"/>
      </w:rPr>
    </w:lvl>
    <w:lvl w:ilvl="8" w:tplc="0B842780"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E1F4244"/>
    <w:multiLevelType w:val="hybridMultilevel"/>
    <w:tmpl w:val="6B366054"/>
    <w:lvl w:ilvl="0" w:tplc="0C090001">
      <w:start w:val="1"/>
      <w:numFmt w:val="bullet"/>
      <w:lvlText w:val=""/>
      <w:lvlJc w:val="left"/>
      <w:pPr>
        <w:ind w:left="1077" w:hanging="360"/>
      </w:pPr>
      <w:rPr>
        <w:rFonts w:ascii="Symbol" w:hAnsi="Symbol" w:hint="default"/>
      </w:rPr>
    </w:lvl>
    <w:lvl w:ilvl="1" w:tplc="669CDFEE">
      <w:start w:val="1"/>
      <w:numFmt w:val="bullet"/>
      <w:lvlText w:val="-"/>
      <w:lvlJc w:val="left"/>
      <w:pPr>
        <w:ind w:left="1797" w:hanging="360"/>
      </w:pPr>
      <w:rPr>
        <w:rFonts w:ascii="Courier New" w:hAnsi="Courier New" w:hint="default"/>
      </w:rPr>
    </w:lvl>
    <w:lvl w:ilvl="2" w:tplc="0C090001">
      <w:start w:val="1"/>
      <w:numFmt w:val="bullet"/>
      <w:lvlText w:val=""/>
      <w:lvlJc w:val="left"/>
      <w:pPr>
        <w:ind w:left="2517" w:hanging="360"/>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7EE608A9"/>
    <w:multiLevelType w:val="hybridMultilevel"/>
    <w:tmpl w:val="B9F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
  </w:num>
  <w:num w:numId="4">
    <w:abstractNumId w:val="3"/>
  </w:num>
  <w:num w:numId="5">
    <w:abstractNumId w:val="27"/>
  </w:num>
  <w:num w:numId="6">
    <w:abstractNumId w:val="2"/>
  </w:num>
  <w:num w:numId="7">
    <w:abstractNumId w:val="28"/>
  </w:num>
  <w:num w:numId="8">
    <w:abstractNumId w:val="18"/>
  </w:num>
  <w:num w:numId="9">
    <w:abstractNumId w:val="17"/>
  </w:num>
  <w:num w:numId="10">
    <w:abstractNumId w:val="16"/>
  </w:num>
  <w:num w:numId="11">
    <w:abstractNumId w:val="5"/>
  </w:num>
  <w:num w:numId="12">
    <w:abstractNumId w:val="22"/>
  </w:num>
  <w:num w:numId="13">
    <w:abstractNumId w:val="6"/>
  </w:num>
  <w:num w:numId="14">
    <w:abstractNumId w:val="21"/>
  </w:num>
  <w:num w:numId="15">
    <w:abstractNumId w:val="9"/>
  </w:num>
  <w:num w:numId="16">
    <w:abstractNumId w:val="24"/>
  </w:num>
  <w:num w:numId="17">
    <w:abstractNumId w:val="0"/>
  </w:num>
  <w:num w:numId="18">
    <w:abstractNumId w:val="20"/>
  </w:num>
  <w:num w:numId="19">
    <w:abstractNumId w:val="7"/>
  </w:num>
  <w:num w:numId="20">
    <w:abstractNumId w:val="23"/>
  </w:num>
  <w:num w:numId="21">
    <w:abstractNumId w:val="29"/>
  </w:num>
  <w:num w:numId="22">
    <w:abstractNumId w:val="14"/>
  </w:num>
  <w:num w:numId="23">
    <w:abstractNumId w:val="3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0"/>
  </w:num>
  <w:num w:numId="39">
    <w:abstractNumId w:val="15"/>
  </w:num>
  <w:num w:numId="40">
    <w:abstractNumId w:val="4"/>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209A8"/>
    <w:rsid w:val="00026B08"/>
    <w:rsid w:val="00030037"/>
    <w:rsid w:val="000334D7"/>
    <w:rsid w:val="00071439"/>
    <w:rsid w:val="00086DB0"/>
    <w:rsid w:val="000945FB"/>
    <w:rsid w:val="000A6BF7"/>
    <w:rsid w:val="000C6EE8"/>
    <w:rsid w:val="000D44C4"/>
    <w:rsid w:val="000E7E28"/>
    <w:rsid w:val="000F3955"/>
    <w:rsid w:val="000F5D90"/>
    <w:rsid w:val="0010139F"/>
    <w:rsid w:val="001015B5"/>
    <w:rsid w:val="00110C71"/>
    <w:rsid w:val="001327B9"/>
    <w:rsid w:val="00133C31"/>
    <w:rsid w:val="00144DEF"/>
    <w:rsid w:val="001506FE"/>
    <w:rsid w:val="00154516"/>
    <w:rsid w:val="00155025"/>
    <w:rsid w:val="0016168A"/>
    <w:rsid w:val="001647C8"/>
    <w:rsid w:val="00172CCE"/>
    <w:rsid w:val="001A3A7E"/>
    <w:rsid w:val="001B1E5F"/>
    <w:rsid w:val="001B402F"/>
    <w:rsid w:val="001C425C"/>
    <w:rsid w:val="001C5F7E"/>
    <w:rsid w:val="001D2CEA"/>
    <w:rsid w:val="001D47AA"/>
    <w:rsid w:val="001E1E31"/>
    <w:rsid w:val="001E2849"/>
    <w:rsid w:val="001E4A94"/>
    <w:rsid w:val="001E5621"/>
    <w:rsid w:val="002013BA"/>
    <w:rsid w:val="00212A06"/>
    <w:rsid w:val="00214725"/>
    <w:rsid w:val="00220770"/>
    <w:rsid w:val="00220A3B"/>
    <w:rsid w:val="00224708"/>
    <w:rsid w:val="002772AA"/>
    <w:rsid w:val="0028013F"/>
    <w:rsid w:val="0028696A"/>
    <w:rsid w:val="00292B93"/>
    <w:rsid w:val="00292F2E"/>
    <w:rsid w:val="00293CCC"/>
    <w:rsid w:val="002955CE"/>
    <w:rsid w:val="00295B44"/>
    <w:rsid w:val="002A3A79"/>
    <w:rsid w:val="002B2D48"/>
    <w:rsid w:val="002C08FB"/>
    <w:rsid w:val="002C34EA"/>
    <w:rsid w:val="002C6D22"/>
    <w:rsid w:val="002D02AB"/>
    <w:rsid w:val="002D4DAC"/>
    <w:rsid w:val="002E3A43"/>
    <w:rsid w:val="00303BE1"/>
    <w:rsid w:val="00305AFC"/>
    <w:rsid w:val="00305F1D"/>
    <w:rsid w:val="00310949"/>
    <w:rsid w:val="00333488"/>
    <w:rsid w:val="003354E4"/>
    <w:rsid w:val="0037245D"/>
    <w:rsid w:val="0037447E"/>
    <w:rsid w:val="00380E23"/>
    <w:rsid w:val="003A0D85"/>
    <w:rsid w:val="003A1306"/>
    <w:rsid w:val="003C336D"/>
    <w:rsid w:val="003D1528"/>
    <w:rsid w:val="003D6DBD"/>
    <w:rsid w:val="003E00B5"/>
    <w:rsid w:val="003E3268"/>
    <w:rsid w:val="003F2F06"/>
    <w:rsid w:val="00404633"/>
    <w:rsid w:val="00405C0A"/>
    <w:rsid w:val="00414F2C"/>
    <w:rsid w:val="0042584E"/>
    <w:rsid w:val="00450B34"/>
    <w:rsid w:val="004606A7"/>
    <w:rsid w:val="004877F0"/>
    <w:rsid w:val="00497171"/>
    <w:rsid w:val="004A2393"/>
    <w:rsid w:val="004A5E5D"/>
    <w:rsid w:val="004B747B"/>
    <w:rsid w:val="004D1606"/>
    <w:rsid w:val="004D7537"/>
    <w:rsid w:val="004E3F5E"/>
    <w:rsid w:val="004E753C"/>
    <w:rsid w:val="004F5C05"/>
    <w:rsid w:val="0053749F"/>
    <w:rsid w:val="005377D2"/>
    <w:rsid w:val="00553A4C"/>
    <w:rsid w:val="00554335"/>
    <w:rsid w:val="00556489"/>
    <w:rsid w:val="005565CE"/>
    <w:rsid w:val="00560051"/>
    <w:rsid w:val="005708AE"/>
    <w:rsid w:val="0058270A"/>
    <w:rsid w:val="00583029"/>
    <w:rsid w:val="00583A8B"/>
    <w:rsid w:val="005A0FA9"/>
    <w:rsid w:val="005B2FA7"/>
    <w:rsid w:val="005C5932"/>
    <w:rsid w:val="005C6817"/>
    <w:rsid w:val="005C7698"/>
    <w:rsid w:val="005E58DF"/>
    <w:rsid w:val="005F0AAE"/>
    <w:rsid w:val="00607E8C"/>
    <w:rsid w:val="006125ED"/>
    <w:rsid w:val="00616043"/>
    <w:rsid w:val="0061652F"/>
    <w:rsid w:val="00627C5F"/>
    <w:rsid w:val="00627F08"/>
    <w:rsid w:val="006331D1"/>
    <w:rsid w:val="00640B2C"/>
    <w:rsid w:val="00657A64"/>
    <w:rsid w:val="006606BC"/>
    <w:rsid w:val="00664752"/>
    <w:rsid w:val="00667CAD"/>
    <w:rsid w:val="00681D5E"/>
    <w:rsid w:val="00693679"/>
    <w:rsid w:val="00693E61"/>
    <w:rsid w:val="00696578"/>
    <w:rsid w:val="006A07B3"/>
    <w:rsid w:val="006A0BC7"/>
    <w:rsid w:val="006B07AF"/>
    <w:rsid w:val="006B7B6C"/>
    <w:rsid w:val="006C0257"/>
    <w:rsid w:val="006C0A5C"/>
    <w:rsid w:val="006C0E29"/>
    <w:rsid w:val="006D30FE"/>
    <w:rsid w:val="006D3757"/>
    <w:rsid w:val="006F7348"/>
    <w:rsid w:val="006F796D"/>
    <w:rsid w:val="0070155F"/>
    <w:rsid w:val="007372A4"/>
    <w:rsid w:val="00741B04"/>
    <w:rsid w:val="00754466"/>
    <w:rsid w:val="0076115C"/>
    <w:rsid w:val="00763FF6"/>
    <w:rsid w:val="007664F3"/>
    <w:rsid w:val="0079197C"/>
    <w:rsid w:val="00792BB4"/>
    <w:rsid w:val="007937EC"/>
    <w:rsid w:val="007A35B9"/>
    <w:rsid w:val="007A5C17"/>
    <w:rsid w:val="007B77D6"/>
    <w:rsid w:val="007C0B6E"/>
    <w:rsid w:val="007C7B7F"/>
    <w:rsid w:val="007D4836"/>
    <w:rsid w:val="007E2C84"/>
    <w:rsid w:val="007E3545"/>
    <w:rsid w:val="007F0095"/>
    <w:rsid w:val="007F39E2"/>
    <w:rsid w:val="007F3A76"/>
    <w:rsid w:val="00814288"/>
    <w:rsid w:val="00823D5B"/>
    <w:rsid w:val="008338F7"/>
    <w:rsid w:val="00836397"/>
    <w:rsid w:val="00845054"/>
    <w:rsid w:val="00852D1C"/>
    <w:rsid w:val="00856147"/>
    <w:rsid w:val="00860F40"/>
    <w:rsid w:val="008615C9"/>
    <w:rsid w:val="00864020"/>
    <w:rsid w:val="0087383F"/>
    <w:rsid w:val="008947D6"/>
    <w:rsid w:val="008979D5"/>
    <w:rsid w:val="008A4C3B"/>
    <w:rsid w:val="008B2AD7"/>
    <w:rsid w:val="008B74AF"/>
    <w:rsid w:val="008D6B7E"/>
    <w:rsid w:val="008D7845"/>
    <w:rsid w:val="008E4013"/>
    <w:rsid w:val="008F6563"/>
    <w:rsid w:val="009009AC"/>
    <w:rsid w:val="00923B23"/>
    <w:rsid w:val="00937ED0"/>
    <w:rsid w:val="00943212"/>
    <w:rsid w:val="00952797"/>
    <w:rsid w:val="0095426D"/>
    <w:rsid w:val="009777D3"/>
    <w:rsid w:val="009859E6"/>
    <w:rsid w:val="00987775"/>
    <w:rsid w:val="009973BC"/>
    <w:rsid w:val="009A0A5D"/>
    <w:rsid w:val="009C6933"/>
    <w:rsid w:val="009D38F4"/>
    <w:rsid w:val="009F72E2"/>
    <w:rsid w:val="00A04C7A"/>
    <w:rsid w:val="00A058E5"/>
    <w:rsid w:val="00A07704"/>
    <w:rsid w:val="00A10C1A"/>
    <w:rsid w:val="00A2072E"/>
    <w:rsid w:val="00A21B4B"/>
    <w:rsid w:val="00A237BB"/>
    <w:rsid w:val="00A25FE8"/>
    <w:rsid w:val="00A32C73"/>
    <w:rsid w:val="00A509AB"/>
    <w:rsid w:val="00A523AB"/>
    <w:rsid w:val="00A56C52"/>
    <w:rsid w:val="00A676CA"/>
    <w:rsid w:val="00A82078"/>
    <w:rsid w:val="00A838C8"/>
    <w:rsid w:val="00A860C5"/>
    <w:rsid w:val="00A870B3"/>
    <w:rsid w:val="00A91C42"/>
    <w:rsid w:val="00A93464"/>
    <w:rsid w:val="00A9516B"/>
    <w:rsid w:val="00A9780A"/>
    <w:rsid w:val="00AA00AF"/>
    <w:rsid w:val="00AA2FC9"/>
    <w:rsid w:val="00AA45FA"/>
    <w:rsid w:val="00AB23E8"/>
    <w:rsid w:val="00AB283D"/>
    <w:rsid w:val="00AD312E"/>
    <w:rsid w:val="00AE3EAF"/>
    <w:rsid w:val="00AE5030"/>
    <w:rsid w:val="00AE6722"/>
    <w:rsid w:val="00B024B0"/>
    <w:rsid w:val="00B12A23"/>
    <w:rsid w:val="00B34EDA"/>
    <w:rsid w:val="00B469BB"/>
    <w:rsid w:val="00B51748"/>
    <w:rsid w:val="00B57198"/>
    <w:rsid w:val="00B63D2D"/>
    <w:rsid w:val="00B85023"/>
    <w:rsid w:val="00BA2456"/>
    <w:rsid w:val="00BA469B"/>
    <w:rsid w:val="00BB262A"/>
    <w:rsid w:val="00BB4A5B"/>
    <w:rsid w:val="00BB6E51"/>
    <w:rsid w:val="00BB73E5"/>
    <w:rsid w:val="00BC6EE3"/>
    <w:rsid w:val="00BF2534"/>
    <w:rsid w:val="00BF666B"/>
    <w:rsid w:val="00BF79DC"/>
    <w:rsid w:val="00C009AD"/>
    <w:rsid w:val="00C05B5A"/>
    <w:rsid w:val="00C1419D"/>
    <w:rsid w:val="00C2008A"/>
    <w:rsid w:val="00C217E3"/>
    <w:rsid w:val="00C21C53"/>
    <w:rsid w:val="00C250F4"/>
    <w:rsid w:val="00C27670"/>
    <w:rsid w:val="00C35DE1"/>
    <w:rsid w:val="00C3795C"/>
    <w:rsid w:val="00C422CD"/>
    <w:rsid w:val="00C504C9"/>
    <w:rsid w:val="00C524AA"/>
    <w:rsid w:val="00C54689"/>
    <w:rsid w:val="00C5642B"/>
    <w:rsid w:val="00C60B46"/>
    <w:rsid w:val="00C72243"/>
    <w:rsid w:val="00C76025"/>
    <w:rsid w:val="00C80430"/>
    <w:rsid w:val="00C81B3A"/>
    <w:rsid w:val="00CA4EE0"/>
    <w:rsid w:val="00CA6154"/>
    <w:rsid w:val="00CB6312"/>
    <w:rsid w:val="00CB6C08"/>
    <w:rsid w:val="00CC4F46"/>
    <w:rsid w:val="00CC7677"/>
    <w:rsid w:val="00CD0DCA"/>
    <w:rsid w:val="00CF1345"/>
    <w:rsid w:val="00D12F61"/>
    <w:rsid w:val="00D1795E"/>
    <w:rsid w:val="00D201C6"/>
    <w:rsid w:val="00D23CC2"/>
    <w:rsid w:val="00D40C7D"/>
    <w:rsid w:val="00D52630"/>
    <w:rsid w:val="00D61BF2"/>
    <w:rsid w:val="00D638E0"/>
    <w:rsid w:val="00D716BA"/>
    <w:rsid w:val="00D8404D"/>
    <w:rsid w:val="00D97C19"/>
    <w:rsid w:val="00DB2E1E"/>
    <w:rsid w:val="00DC2952"/>
    <w:rsid w:val="00DD3A71"/>
    <w:rsid w:val="00DD4B2F"/>
    <w:rsid w:val="00DF1AB7"/>
    <w:rsid w:val="00E07C02"/>
    <w:rsid w:val="00E12B06"/>
    <w:rsid w:val="00E15BF6"/>
    <w:rsid w:val="00E32E42"/>
    <w:rsid w:val="00E5349A"/>
    <w:rsid w:val="00E71CB9"/>
    <w:rsid w:val="00E73698"/>
    <w:rsid w:val="00E77E23"/>
    <w:rsid w:val="00E8251C"/>
    <w:rsid w:val="00E842D6"/>
    <w:rsid w:val="00E844A0"/>
    <w:rsid w:val="00EB7298"/>
    <w:rsid w:val="00EF3024"/>
    <w:rsid w:val="00F13ED2"/>
    <w:rsid w:val="00F27ACB"/>
    <w:rsid w:val="00F355E8"/>
    <w:rsid w:val="00F3616F"/>
    <w:rsid w:val="00F6618F"/>
    <w:rsid w:val="00F70DD5"/>
    <w:rsid w:val="00F73165"/>
    <w:rsid w:val="00F73F34"/>
    <w:rsid w:val="00F90BCE"/>
    <w:rsid w:val="00F9385A"/>
    <w:rsid w:val="00F960D5"/>
    <w:rsid w:val="00FA230B"/>
    <w:rsid w:val="00FA48AD"/>
    <w:rsid w:val="00FC1C99"/>
    <w:rsid w:val="00FC2881"/>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C066780B-9665-419D-9BF5-F247F88A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193150139">
      <w:bodyDiv w:val="1"/>
      <w:marLeft w:val="0"/>
      <w:marRight w:val="0"/>
      <w:marTop w:val="0"/>
      <w:marBottom w:val="0"/>
      <w:divBdr>
        <w:top w:val="none" w:sz="0" w:space="0" w:color="auto"/>
        <w:left w:val="none" w:sz="0" w:space="0" w:color="auto"/>
        <w:bottom w:val="none" w:sz="0" w:space="0" w:color="auto"/>
        <w:right w:val="none" w:sz="0" w:space="0" w:color="auto"/>
      </w:divBdr>
    </w:div>
    <w:div w:id="1343707234">
      <w:bodyDiv w:val="1"/>
      <w:marLeft w:val="0"/>
      <w:marRight w:val="0"/>
      <w:marTop w:val="0"/>
      <w:marBottom w:val="0"/>
      <w:divBdr>
        <w:top w:val="none" w:sz="0" w:space="0" w:color="auto"/>
        <w:left w:val="none" w:sz="0" w:space="0" w:color="auto"/>
        <w:bottom w:val="none" w:sz="0" w:space="0" w:color="auto"/>
        <w:right w:val="none" w:sz="0" w:space="0" w:color="auto"/>
      </w:divBdr>
    </w:div>
    <w:div w:id="1516574332">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D2C7-584F-45CA-A096-338CA64D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1</TotalTime>
  <Pages>19</Pages>
  <Words>4716</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32666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Chinese Medicine Board and AHPRA</dc:creator>
  <cp:lastModifiedBy>Gareth Meade</cp:lastModifiedBy>
  <cp:revision>4</cp:revision>
  <cp:lastPrinted>2015-11-25T00:07:00Z</cp:lastPrinted>
  <dcterms:created xsi:type="dcterms:W3CDTF">2015-11-25T00:05:00Z</dcterms:created>
  <dcterms:modified xsi:type="dcterms:W3CDTF">2015-11-25T00:07:00Z</dcterms:modified>
</cp:coreProperties>
</file>