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6F" w:rsidRDefault="0040306F" w:rsidP="006C0F69">
      <w:pPr>
        <w:pStyle w:val="AHPRADocumenttitle"/>
      </w:pPr>
    </w:p>
    <w:p w:rsidR="0040306F" w:rsidRDefault="0040306F" w:rsidP="006C0F69">
      <w:pPr>
        <w:pStyle w:val="AHPRADocumenttitle"/>
      </w:pPr>
    </w:p>
    <w:p w:rsidR="00A23C60" w:rsidRDefault="00A23C60" w:rsidP="00A23C60">
      <w:pPr>
        <w:pStyle w:val="AHPRADocumenttitle"/>
        <w:pBdr>
          <w:bottom w:val="single" w:sz="4" w:space="1" w:color="auto"/>
        </w:pBdr>
        <w:ind w:left="-1418" w:right="6185" w:firstLine="1418"/>
        <w:sectPr w:rsidR="00A23C60" w:rsidSect="00A00466">
          <w:headerReference w:type="even" r:id="rId8"/>
          <w:footerReference w:type="even" r:id="rId9"/>
          <w:footerReference w:type="default" r:id="rId10"/>
          <w:headerReference w:type="first" r:id="rId11"/>
          <w:footerReference w:type="first" r:id="rId12"/>
          <w:type w:val="continuous"/>
          <w:pgSz w:w="11900" w:h="16840" w:code="9"/>
          <w:pgMar w:top="1440" w:right="1080" w:bottom="1440" w:left="1080" w:header="284" w:footer="110" w:gutter="0"/>
          <w:cols w:num="2" w:space="708"/>
          <w:titlePg/>
          <w:docGrid w:linePitch="326"/>
        </w:sectPr>
      </w:pPr>
    </w:p>
    <w:p w:rsidR="00A23C60" w:rsidRDefault="00A23C60" w:rsidP="00A23C60">
      <w:pPr>
        <w:pStyle w:val="AHPRADocumenttitle"/>
        <w:pBdr>
          <w:bottom w:val="single" w:sz="4" w:space="1" w:color="auto"/>
        </w:pBdr>
        <w:ind w:left="-1418" w:right="6185" w:firstLine="1418"/>
      </w:pPr>
    </w:p>
    <w:p w:rsidR="00A23C60" w:rsidRDefault="00A23C60" w:rsidP="00A23C60">
      <w:pPr>
        <w:pStyle w:val="AHPRADocumenttitle"/>
        <w:pBdr>
          <w:bottom w:val="single" w:sz="4" w:space="1" w:color="auto"/>
        </w:pBdr>
        <w:ind w:left="-1418" w:right="6185" w:firstLine="1418"/>
      </w:pPr>
    </w:p>
    <w:p w:rsidR="00A23C60" w:rsidRDefault="00A23C60" w:rsidP="00A23C60">
      <w:pPr>
        <w:pStyle w:val="AHPRADocumenttitle"/>
        <w:pBdr>
          <w:bottom w:val="single" w:sz="4" w:space="1" w:color="auto"/>
        </w:pBdr>
        <w:ind w:left="-1418" w:right="6185" w:firstLine="1418"/>
      </w:pPr>
    </w:p>
    <w:p w:rsidR="00A23C60" w:rsidRPr="00C2396E" w:rsidRDefault="00A23C60" w:rsidP="00A23C60">
      <w:pPr>
        <w:pStyle w:val="AHPRADocumenttitle"/>
        <w:pBdr>
          <w:bottom w:val="single" w:sz="4" w:space="1" w:color="auto"/>
        </w:pBdr>
        <w:ind w:left="-1418" w:right="6185" w:firstLine="1418"/>
      </w:pPr>
      <w:r>
        <w:t>Public consultation</w:t>
      </w:r>
    </w:p>
    <w:p w:rsidR="00A23C60" w:rsidRPr="00C2396E" w:rsidRDefault="00291FD1" w:rsidP="00A23C60">
      <w:pPr>
        <w:pStyle w:val="AHPRAbodytext"/>
        <w:spacing w:before="360"/>
      </w:pPr>
      <w:r>
        <w:t>29 January 2018</w:t>
      </w:r>
    </w:p>
    <w:p w:rsidR="00A23C60" w:rsidRDefault="00A23C60" w:rsidP="00A23C60">
      <w:pPr>
        <w:pStyle w:val="AHPRADocumentsubheading"/>
      </w:pPr>
      <w:r>
        <w:t>Draft revised guidelines ‘</w:t>
      </w:r>
      <w:r w:rsidRPr="00367B6F">
        <w:t>Sexual boundaries in the doctor-patient relationship</w:t>
      </w:r>
      <w:r>
        <w:t>’</w:t>
      </w:r>
    </w:p>
    <w:p w:rsidR="00A23C60" w:rsidRPr="00BB3678" w:rsidRDefault="00A23C60" w:rsidP="00A23C60">
      <w:pPr>
        <w:pStyle w:val="AHPRAHeadline"/>
        <w:spacing w:before="200"/>
        <w:rPr>
          <w:rFonts w:cs="Arial"/>
          <w:b/>
          <w:szCs w:val="20"/>
        </w:rPr>
      </w:pPr>
      <w:r>
        <w:rPr>
          <w:rFonts w:cs="Arial"/>
          <w:b/>
          <w:sz w:val="20"/>
          <w:szCs w:val="20"/>
        </w:rPr>
        <w:t>Summary</w:t>
      </w:r>
    </w:p>
    <w:p w:rsidR="00A23C60" w:rsidRPr="00FA1E5A" w:rsidRDefault="00A23C60" w:rsidP="00A23C60">
      <w:pPr>
        <w:pStyle w:val="Default"/>
      </w:pPr>
      <w:r>
        <w:rPr>
          <w:sz w:val="20"/>
          <w:szCs w:val="20"/>
        </w:rPr>
        <w:t>This public</w:t>
      </w:r>
      <w:r w:rsidRPr="00FA1E5A">
        <w:rPr>
          <w:sz w:val="20"/>
          <w:szCs w:val="20"/>
        </w:rPr>
        <w:t xml:space="preserve"> consul</w:t>
      </w:r>
      <w:r>
        <w:rPr>
          <w:sz w:val="20"/>
          <w:szCs w:val="20"/>
        </w:rPr>
        <w:t xml:space="preserve">tation paper released by the Medical Board of Australia seeks feedback on </w:t>
      </w:r>
      <w:r w:rsidRPr="003211E4">
        <w:rPr>
          <w:sz w:val="20"/>
          <w:szCs w:val="20"/>
        </w:rPr>
        <w:t xml:space="preserve">draft </w:t>
      </w:r>
      <w:r w:rsidRPr="00471CE3">
        <w:rPr>
          <w:sz w:val="20"/>
          <w:szCs w:val="20"/>
        </w:rPr>
        <w:t>revised</w:t>
      </w:r>
      <w:r w:rsidRPr="004F2074">
        <w:rPr>
          <w:sz w:val="20"/>
          <w:szCs w:val="20"/>
        </w:rPr>
        <w:t xml:space="preserve"> </w:t>
      </w:r>
      <w:r w:rsidRPr="0030335E">
        <w:rPr>
          <w:iCs/>
          <w:sz w:val="20"/>
          <w:szCs w:val="20"/>
        </w:rPr>
        <w:t>guidelines</w:t>
      </w:r>
      <w:r>
        <w:rPr>
          <w:i/>
          <w:iCs/>
          <w:sz w:val="20"/>
          <w:szCs w:val="20"/>
        </w:rPr>
        <w:t xml:space="preserve"> </w:t>
      </w:r>
      <w:r w:rsidRPr="00367B6F">
        <w:rPr>
          <w:i/>
          <w:iCs/>
          <w:sz w:val="20"/>
          <w:szCs w:val="20"/>
        </w:rPr>
        <w:t>‘Sexual boundaries in the doctor-patient relationship’</w:t>
      </w:r>
      <w:r>
        <w:rPr>
          <w:iCs/>
          <w:sz w:val="20"/>
          <w:szCs w:val="20"/>
        </w:rPr>
        <w:t>.</w:t>
      </w:r>
    </w:p>
    <w:p w:rsidR="00A23C60" w:rsidRDefault="00A23C60" w:rsidP="00A23C60">
      <w:pPr>
        <w:pStyle w:val="Default"/>
        <w:rPr>
          <w:sz w:val="20"/>
          <w:szCs w:val="20"/>
        </w:rPr>
      </w:pPr>
    </w:p>
    <w:p w:rsidR="00A23C60" w:rsidRDefault="00A23C60" w:rsidP="00A23C60">
      <w:pPr>
        <w:pStyle w:val="Default"/>
        <w:rPr>
          <w:sz w:val="20"/>
          <w:szCs w:val="20"/>
        </w:rPr>
      </w:pPr>
      <w:r>
        <w:rPr>
          <w:sz w:val="20"/>
          <w:szCs w:val="20"/>
        </w:rPr>
        <w:t>The National Law</w:t>
      </w:r>
      <w:r>
        <w:rPr>
          <w:rStyle w:val="FootnoteReference"/>
          <w:sz w:val="20"/>
          <w:szCs w:val="20"/>
        </w:rPr>
        <w:footnoteReference w:id="1"/>
      </w:r>
      <w:r>
        <w:rPr>
          <w:sz w:val="20"/>
          <w:szCs w:val="20"/>
        </w:rPr>
        <w:t xml:space="preserve">, empowers the National Boards to develop and approve codes and guidelines to provide guidance to health practitioners. </w:t>
      </w:r>
      <w:r w:rsidRPr="00816EDF">
        <w:rPr>
          <w:sz w:val="20"/>
          <w:szCs w:val="20"/>
        </w:rPr>
        <w:t>The National Law requires National Boards to ensure there is wide-ranging consultation on the content of any proposed registration standard, code or guideline.</w:t>
      </w:r>
    </w:p>
    <w:p w:rsidR="00A23C60" w:rsidRDefault="00A23C60" w:rsidP="00A23C60">
      <w:pPr>
        <w:pStyle w:val="Default"/>
        <w:rPr>
          <w:sz w:val="20"/>
          <w:szCs w:val="20"/>
        </w:rPr>
      </w:pPr>
    </w:p>
    <w:p w:rsidR="00A23C60" w:rsidRDefault="00A23C60" w:rsidP="00A23C60">
      <w:pPr>
        <w:pStyle w:val="Default"/>
        <w:rPr>
          <w:sz w:val="20"/>
          <w:szCs w:val="20"/>
        </w:rPr>
      </w:pPr>
      <w:r>
        <w:rPr>
          <w:sz w:val="20"/>
          <w:szCs w:val="20"/>
        </w:rPr>
        <w:t xml:space="preserve">The Medical Board of Australia (the Board) is inviting general comments on draft revised guidelines </w:t>
      </w:r>
      <w:r w:rsidRPr="00EA2E12">
        <w:rPr>
          <w:i/>
          <w:sz w:val="20"/>
          <w:szCs w:val="20"/>
        </w:rPr>
        <w:t>‘Sexual boundaries in the doctor-patient relationship’</w:t>
      </w:r>
      <w:r>
        <w:rPr>
          <w:sz w:val="20"/>
          <w:szCs w:val="20"/>
        </w:rPr>
        <w:t>. There are also specific questions which you may wish to address in your response.</w:t>
      </w:r>
    </w:p>
    <w:p w:rsidR="00A23C60" w:rsidRPr="00EA2E12" w:rsidRDefault="00A23C60" w:rsidP="00A23C60">
      <w:pPr>
        <w:pStyle w:val="AHPRAHeadline"/>
        <w:spacing w:before="200"/>
        <w:rPr>
          <w:rFonts w:cs="Arial"/>
          <w:b/>
          <w:sz w:val="20"/>
          <w:szCs w:val="20"/>
        </w:rPr>
      </w:pPr>
      <w:r>
        <w:rPr>
          <w:rFonts w:cs="Arial"/>
          <w:b/>
          <w:sz w:val="20"/>
          <w:szCs w:val="20"/>
        </w:rPr>
        <w:t>Making a submission</w:t>
      </w:r>
    </w:p>
    <w:p w:rsidR="00A23C60" w:rsidRPr="00EA2E12" w:rsidRDefault="00A23C60" w:rsidP="00A23C60">
      <w:pPr>
        <w:pStyle w:val="AHPRAbody"/>
        <w:spacing w:before="200"/>
        <w:rPr>
          <w:b/>
          <w:bCs/>
          <w:color w:val="000000"/>
          <w:szCs w:val="20"/>
        </w:rPr>
      </w:pPr>
      <w:r w:rsidRPr="00EA2E12">
        <w:rPr>
          <w:bCs/>
          <w:color w:val="000000"/>
          <w:szCs w:val="20"/>
        </w:rPr>
        <w:t xml:space="preserve">Please provide written submissions by email, marked: ‘Draft revised </w:t>
      </w:r>
      <w:r>
        <w:rPr>
          <w:bCs/>
          <w:color w:val="000000"/>
          <w:szCs w:val="20"/>
        </w:rPr>
        <w:t xml:space="preserve">guidelines </w:t>
      </w:r>
      <w:r w:rsidRPr="00EA2E12">
        <w:rPr>
          <w:bCs/>
          <w:color w:val="000000"/>
          <w:szCs w:val="20"/>
        </w:rPr>
        <w:t>Sexual Boundaries in the doctor-patient relationship’ to</w:t>
      </w:r>
      <w:r w:rsidR="002F7994">
        <w:rPr>
          <w:bCs/>
          <w:color w:val="000000"/>
          <w:szCs w:val="20"/>
        </w:rPr>
        <w:t xml:space="preserve"> </w:t>
      </w:r>
      <w:hyperlink r:id="rId13" w:history="1">
        <w:r w:rsidR="002F7994" w:rsidRPr="00E115B6">
          <w:rPr>
            <w:rStyle w:val="Hyperlink"/>
            <w:bCs/>
            <w:szCs w:val="20"/>
          </w:rPr>
          <w:t>medboardconsultation@ahpra.gov.au</w:t>
        </w:r>
      </w:hyperlink>
      <w:r w:rsidR="002F7994">
        <w:rPr>
          <w:bCs/>
          <w:color w:val="000000"/>
          <w:szCs w:val="20"/>
        </w:rPr>
        <w:t xml:space="preserve"> </w:t>
      </w:r>
      <w:r w:rsidRPr="00EA2E12">
        <w:rPr>
          <w:bCs/>
          <w:color w:val="000000"/>
          <w:szCs w:val="20"/>
        </w:rPr>
        <w:t>by close of business on</w:t>
      </w:r>
      <w:r>
        <w:rPr>
          <w:bCs/>
          <w:color w:val="000000"/>
          <w:szCs w:val="20"/>
        </w:rPr>
        <w:br/>
      </w:r>
      <w:r>
        <w:rPr>
          <w:b/>
          <w:bCs/>
          <w:color w:val="000000"/>
          <w:szCs w:val="20"/>
        </w:rPr>
        <w:t>29 March 2018.</w:t>
      </w:r>
    </w:p>
    <w:p w:rsidR="00A23C60" w:rsidRPr="00EA2E12" w:rsidRDefault="00A23C60" w:rsidP="00A23C60">
      <w:pPr>
        <w:pStyle w:val="AHPRAbody"/>
        <w:spacing w:before="200"/>
        <w:rPr>
          <w:bCs/>
          <w:color w:val="000000"/>
          <w:szCs w:val="20"/>
        </w:rPr>
      </w:pPr>
      <w:r w:rsidRPr="00EA2E12">
        <w:rPr>
          <w:bCs/>
          <w:color w:val="000000"/>
          <w:szCs w:val="20"/>
        </w:rPr>
        <w:t>Submissions for publication on the Board’s website should be sen</w:t>
      </w:r>
      <w:r>
        <w:rPr>
          <w:bCs/>
          <w:color w:val="000000"/>
          <w:szCs w:val="20"/>
        </w:rPr>
        <w:t>t in Word format or equivalent.</w:t>
      </w:r>
      <w:r>
        <w:rPr>
          <w:rStyle w:val="FootnoteReference"/>
          <w:bCs/>
          <w:color w:val="000000"/>
          <w:szCs w:val="20"/>
        </w:rPr>
        <w:footnoteReference w:id="2"/>
      </w:r>
    </w:p>
    <w:p w:rsidR="00A23C60" w:rsidRPr="00816EDF" w:rsidRDefault="00A23C60" w:rsidP="00A23C60">
      <w:pPr>
        <w:pStyle w:val="AHPRAbody"/>
        <w:spacing w:before="200"/>
        <w:rPr>
          <w:szCs w:val="20"/>
        </w:rPr>
      </w:pPr>
      <w:r w:rsidRPr="00EA2E12">
        <w:rPr>
          <w:bCs/>
          <w:color w:val="000000"/>
          <w:szCs w:val="20"/>
        </w:rPr>
        <w:t>Submissions by post should be addressed to the Executive Officer, Medical, AHPRA, GPO Box 9958, Melbourne 3001.</w:t>
      </w:r>
    </w:p>
    <w:p w:rsidR="00A23C60" w:rsidRPr="00BB1EA7" w:rsidRDefault="00A23C60" w:rsidP="00A23C60">
      <w:pPr>
        <w:pStyle w:val="AHPRASubhead"/>
        <w:rPr>
          <w:lang w:eastAsia="en-AU"/>
        </w:rPr>
      </w:pPr>
      <w:r>
        <w:rPr>
          <w:lang w:eastAsia="en-AU"/>
        </w:rPr>
        <w:t>Publication of submissions</w:t>
      </w:r>
    </w:p>
    <w:p w:rsidR="00A23C60" w:rsidRDefault="00A23C60" w:rsidP="00A23C60">
      <w:pPr>
        <w:pStyle w:val="Default"/>
        <w:rPr>
          <w:sz w:val="20"/>
          <w:szCs w:val="20"/>
        </w:rPr>
      </w:pPr>
      <w:r>
        <w:rPr>
          <w:sz w:val="20"/>
          <w:szCs w:val="20"/>
        </w:rPr>
        <w:t xml:space="preserve">The Board publishes submissions at its discretion. The Board generally publishes submissions on its website to encourage discussion and inform the community and stakeholders. </w:t>
      </w:r>
      <w:r w:rsidR="00D46A42">
        <w:rPr>
          <w:sz w:val="20"/>
          <w:szCs w:val="20"/>
        </w:rPr>
        <w:t xml:space="preserve">Please let us know if you do not want us to publish your submission, or want us to treat all or part of it as confidential. </w:t>
      </w:r>
    </w:p>
    <w:p w:rsidR="00A23C60" w:rsidRDefault="00A23C60" w:rsidP="00A23C60">
      <w:pPr>
        <w:pStyle w:val="Default"/>
        <w:rPr>
          <w:sz w:val="20"/>
          <w:szCs w:val="20"/>
        </w:rPr>
      </w:pPr>
    </w:p>
    <w:p w:rsidR="00A23C60" w:rsidRDefault="00A23C60" w:rsidP="00A23C60">
      <w:pPr>
        <w:pStyle w:val="Default"/>
        <w:rPr>
          <w:sz w:val="20"/>
          <w:szCs w:val="20"/>
        </w:rPr>
      </w:pPr>
      <w:r>
        <w:rPr>
          <w:sz w:val="20"/>
          <w:szCs w:val="20"/>
        </w:rPr>
        <w:t xml:space="preserve">We will not place on our website, or make available to the public, submissions that contain offensive or defamatory comments or which are outside the scope of the subject of the consultation. </w:t>
      </w:r>
      <w:r>
        <w:rPr>
          <w:sz w:val="20"/>
          <w:szCs w:val="20"/>
        </w:rPr>
        <w:br/>
        <w:t xml:space="preserve">Before publication, we may remove personally-identifying information from submissions, including contact details. </w:t>
      </w:r>
    </w:p>
    <w:p w:rsidR="00A23C60" w:rsidRDefault="00A23C60" w:rsidP="00A23C60">
      <w:pPr>
        <w:pStyle w:val="Default"/>
        <w:rPr>
          <w:sz w:val="20"/>
          <w:szCs w:val="20"/>
        </w:rPr>
      </w:pPr>
    </w:p>
    <w:p w:rsidR="00A23C60" w:rsidRDefault="00A23C60" w:rsidP="00A23C60">
      <w:pPr>
        <w:pStyle w:val="Default"/>
        <w:rPr>
          <w:sz w:val="20"/>
          <w:szCs w:val="20"/>
        </w:rPr>
      </w:pPr>
      <w:r>
        <w:rPr>
          <w:sz w:val="20"/>
          <w:szCs w:val="20"/>
        </w:rPr>
        <w:t xml:space="preserve">The views expressed in the submissions are those of the individuals or organisations who submit them and their publication does not imply any acceptance of, or agreement with, these views by the Board. </w:t>
      </w:r>
    </w:p>
    <w:p w:rsidR="00A23C60" w:rsidRDefault="00A23C60" w:rsidP="00A23C60">
      <w:pPr>
        <w:pStyle w:val="Default"/>
        <w:rPr>
          <w:sz w:val="20"/>
          <w:szCs w:val="20"/>
        </w:rPr>
      </w:pPr>
    </w:p>
    <w:p w:rsidR="00A23C60" w:rsidRDefault="00A23C60" w:rsidP="00A23C60">
      <w:pPr>
        <w:pStyle w:val="Default"/>
        <w:rPr>
          <w:sz w:val="20"/>
          <w:szCs w:val="20"/>
        </w:rPr>
      </w:pPr>
      <w:r>
        <w:rPr>
          <w:sz w:val="20"/>
          <w:szCs w:val="20"/>
        </w:rPr>
        <w:t xml:space="preserve">The Board accepts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w:t>
      </w:r>
      <w:r>
        <w:rPr>
          <w:i/>
          <w:iCs/>
          <w:sz w:val="20"/>
          <w:szCs w:val="20"/>
        </w:rPr>
        <w:t xml:space="preserve">Freedom of Information Act 1982 </w:t>
      </w:r>
      <w:r>
        <w:rPr>
          <w:sz w:val="20"/>
          <w:szCs w:val="20"/>
        </w:rPr>
        <w:t xml:space="preserve">(Cth), which has provisions designed to protect personal information and information given in confidence. </w:t>
      </w:r>
    </w:p>
    <w:p w:rsidR="00A23C60" w:rsidRDefault="00A23C60" w:rsidP="00A23C60">
      <w:pPr>
        <w:pStyle w:val="Default"/>
        <w:rPr>
          <w:sz w:val="20"/>
          <w:szCs w:val="20"/>
        </w:rPr>
      </w:pPr>
    </w:p>
    <w:p w:rsidR="00A23C60" w:rsidRDefault="00A23C60" w:rsidP="00A23C60">
      <w:pPr>
        <w:pStyle w:val="Default"/>
        <w:rPr>
          <w:b/>
          <w:bCs/>
          <w:sz w:val="20"/>
          <w:szCs w:val="20"/>
        </w:rPr>
      </w:pPr>
      <w:r>
        <w:rPr>
          <w:b/>
          <w:bCs/>
          <w:sz w:val="20"/>
          <w:szCs w:val="20"/>
        </w:rPr>
        <w:t>Published submissions will include the names of the individuals and/or the organisations that made the submission, unless confidentiality is requested.</w:t>
      </w:r>
    </w:p>
    <w:p w:rsidR="00A23C60" w:rsidRPr="00BB3678" w:rsidRDefault="00A23C60" w:rsidP="00A23C60">
      <w:pPr>
        <w:pStyle w:val="AHPRAHeadline"/>
        <w:spacing w:before="200"/>
        <w:rPr>
          <w:rFonts w:cs="Arial"/>
          <w:b/>
          <w:sz w:val="20"/>
          <w:szCs w:val="20"/>
        </w:rPr>
      </w:pPr>
      <w:r w:rsidRPr="00BB3678">
        <w:rPr>
          <w:rFonts w:cs="Arial"/>
          <w:b/>
          <w:sz w:val="20"/>
          <w:szCs w:val="20"/>
        </w:rPr>
        <w:t>Background</w:t>
      </w:r>
    </w:p>
    <w:p w:rsidR="00A23C60" w:rsidRPr="00EF0556" w:rsidRDefault="00A23C60" w:rsidP="00A23C60">
      <w:pPr>
        <w:spacing w:before="200"/>
        <w:rPr>
          <w:rFonts w:ascii="Arial" w:hAnsi="Arial" w:cs="Arial"/>
          <w:sz w:val="20"/>
          <w:szCs w:val="20"/>
        </w:rPr>
      </w:pPr>
      <w:r>
        <w:rPr>
          <w:rFonts w:ascii="Arial" w:hAnsi="Arial" w:cs="Arial"/>
          <w:sz w:val="20"/>
          <w:szCs w:val="20"/>
        </w:rPr>
        <w:t xml:space="preserve">Under section 39 </w:t>
      </w:r>
      <w:r w:rsidRPr="00BB3678">
        <w:rPr>
          <w:rFonts w:ascii="Arial" w:hAnsi="Arial" w:cs="Arial"/>
          <w:sz w:val="20"/>
          <w:szCs w:val="20"/>
        </w:rPr>
        <w:t xml:space="preserve">of the </w:t>
      </w:r>
      <w:r>
        <w:rPr>
          <w:rFonts w:ascii="Arial" w:hAnsi="Arial" w:cs="Arial"/>
          <w:sz w:val="20"/>
          <w:szCs w:val="20"/>
        </w:rPr>
        <w:t>National Law,</w:t>
      </w:r>
      <w:r w:rsidRPr="00BB3678">
        <w:rPr>
          <w:rFonts w:ascii="Arial" w:hAnsi="Arial" w:cs="Arial"/>
          <w:sz w:val="20"/>
          <w:szCs w:val="20"/>
        </w:rPr>
        <w:t xml:space="preserve"> the </w:t>
      </w:r>
      <w:r>
        <w:rPr>
          <w:rFonts w:ascii="Arial" w:hAnsi="Arial" w:cs="Arial"/>
          <w:sz w:val="20"/>
          <w:szCs w:val="20"/>
        </w:rPr>
        <w:t xml:space="preserve">National </w:t>
      </w:r>
      <w:r w:rsidRPr="00BB3678">
        <w:rPr>
          <w:rFonts w:ascii="Arial" w:hAnsi="Arial" w:cs="Arial"/>
          <w:sz w:val="20"/>
          <w:szCs w:val="20"/>
        </w:rPr>
        <w:t>Board</w:t>
      </w:r>
      <w:r>
        <w:rPr>
          <w:rFonts w:ascii="Arial" w:hAnsi="Arial" w:cs="Arial"/>
          <w:sz w:val="20"/>
          <w:szCs w:val="20"/>
        </w:rPr>
        <w:t>s</w:t>
      </w:r>
      <w:r w:rsidRPr="00BB3678">
        <w:rPr>
          <w:rFonts w:ascii="Arial" w:hAnsi="Arial" w:cs="Arial"/>
          <w:sz w:val="20"/>
          <w:szCs w:val="20"/>
        </w:rPr>
        <w:t xml:space="preserve"> </w:t>
      </w:r>
      <w:r>
        <w:rPr>
          <w:rFonts w:ascii="Arial" w:hAnsi="Arial" w:cs="Arial"/>
          <w:sz w:val="20"/>
          <w:szCs w:val="20"/>
        </w:rPr>
        <w:t xml:space="preserve">may develop and approve codes and guidelines </w:t>
      </w:r>
      <w:r w:rsidRPr="00EF0556">
        <w:rPr>
          <w:rFonts w:ascii="Arial" w:hAnsi="Arial" w:cs="Arial"/>
          <w:sz w:val="20"/>
          <w:szCs w:val="20"/>
        </w:rPr>
        <w:t xml:space="preserve">to provide guidance to </w:t>
      </w:r>
      <w:r>
        <w:rPr>
          <w:rFonts w:ascii="Arial" w:hAnsi="Arial" w:cs="Arial"/>
          <w:sz w:val="20"/>
          <w:szCs w:val="20"/>
        </w:rPr>
        <w:t>health practitioners</w:t>
      </w:r>
      <w:r w:rsidRPr="00EF0556">
        <w:rPr>
          <w:rFonts w:ascii="Arial" w:hAnsi="Arial" w:cs="Arial"/>
          <w:sz w:val="20"/>
          <w:szCs w:val="20"/>
        </w:rPr>
        <w:t xml:space="preserve"> and which may be about matters relevant to the exercise of the </w:t>
      </w:r>
      <w:r>
        <w:rPr>
          <w:rFonts w:ascii="Arial" w:hAnsi="Arial" w:cs="Arial"/>
          <w:sz w:val="20"/>
          <w:szCs w:val="20"/>
        </w:rPr>
        <w:t>National Board’s functions.</w:t>
      </w:r>
    </w:p>
    <w:p w:rsidR="00A23C60" w:rsidRDefault="00A23C60" w:rsidP="00A23C60">
      <w:pPr>
        <w:spacing w:before="200"/>
        <w:rPr>
          <w:rFonts w:ascii="Arial" w:hAnsi="Arial" w:cs="Arial"/>
          <w:bCs/>
          <w:sz w:val="20"/>
          <w:szCs w:val="20"/>
        </w:rPr>
      </w:pPr>
      <w:r w:rsidRPr="00BB3678">
        <w:rPr>
          <w:rFonts w:ascii="Arial" w:hAnsi="Arial" w:cs="Arial"/>
          <w:bCs/>
          <w:sz w:val="20"/>
          <w:szCs w:val="20"/>
        </w:rPr>
        <w:t>An approved registration standard, code or guideline is admissible in proceedings under the National Law or the law of a co-regulatory jurisdiction against a medical practitioner as evidence of what constitutes appropriate professional conduct or practice of the profession.</w:t>
      </w:r>
    </w:p>
    <w:p w:rsidR="00A23C60" w:rsidRDefault="00A23C60" w:rsidP="00A23C60">
      <w:pPr>
        <w:spacing w:before="200"/>
        <w:rPr>
          <w:rFonts w:ascii="Arial" w:hAnsi="Arial" w:cs="Arial"/>
          <w:bCs/>
          <w:sz w:val="20"/>
          <w:szCs w:val="20"/>
        </w:rPr>
      </w:pPr>
      <w:r>
        <w:rPr>
          <w:rFonts w:ascii="Arial" w:hAnsi="Arial" w:cs="Arial"/>
          <w:bCs/>
          <w:sz w:val="20"/>
          <w:szCs w:val="20"/>
        </w:rPr>
        <w:t xml:space="preserve">The Board’s </w:t>
      </w:r>
      <w:r w:rsidRPr="004F2074">
        <w:rPr>
          <w:rFonts w:ascii="Arial" w:hAnsi="Arial" w:cs="Arial"/>
          <w:bCs/>
          <w:sz w:val="20"/>
          <w:szCs w:val="20"/>
        </w:rPr>
        <w:t xml:space="preserve">current </w:t>
      </w:r>
      <w:r>
        <w:rPr>
          <w:rFonts w:ascii="Arial" w:hAnsi="Arial" w:cs="Arial"/>
          <w:bCs/>
          <w:sz w:val="20"/>
          <w:szCs w:val="20"/>
        </w:rPr>
        <w:t>guidelines ‘</w:t>
      </w:r>
      <w:r>
        <w:rPr>
          <w:rFonts w:ascii="Arial" w:hAnsi="Arial" w:cs="Arial"/>
          <w:bCs/>
          <w:i/>
          <w:sz w:val="20"/>
          <w:szCs w:val="20"/>
        </w:rPr>
        <w:t>Sexual boundaries: g</w:t>
      </w:r>
      <w:r w:rsidRPr="003908B6">
        <w:rPr>
          <w:rFonts w:ascii="Arial" w:hAnsi="Arial" w:cs="Arial"/>
          <w:bCs/>
          <w:i/>
          <w:sz w:val="20"/>
          <w:szCs w:val="20"/>
        </w:rPr>
        <w:t>uidelines for doctor</w:t>
      </w:r>
      <w:r>
        <w:rPr>
          <w:rFonts w:ascii="Arial" w:hAnsi="Arial" w:cs="Arial"/>
          <w:bCs/>
          <w:i/>
          <w:sz w:val="20"/>
          <w:szCs w:val="20"/>
        </w:rPr>
        <w:t>s’</w:t>
      </w:r>
      <w:r w:rsidRPr="004F2074">
        <w:rPr>
          <w:rFonts w:ascii="Arial" w:hAnsi="Arial" w:cs="Arial"/>
          <w:bCs/>
          <w:sz w:val="20"/>
          <w:szCs w:val="20"/>
        </w:rPr>
        <w:t xml:space="preserve"> came into effect on </w:t>
      </w:r>
      <w:r>
        <w:rPr>
          <w:rFonts w:ascii="Arial" w:hAnsi="Arial" w:cs="Arial"/>
          <w:bCs/>
          <w:sz w:val="20"/>
          <w:szCs w:val="20"/>
        </w:rPr>
        <w:t>28 October 2011.</w:t>
      </w:r>
      <w:r w:rsidRPr="004F2074">
        <w:rPr>
          <w:rFonts w:ascii="Arial" w:hAnsi="Arial" w:cs="Arial"/>
          <w:bCs/>
          <w:sz w:val="20"/>
          <w:szCs w:val="20"/>
        </w:rPr>
        <w:t xml:space="preserve"> </w:t>
      </w:r>
      <w:r>
        <w:rPr>
          <w:rFonts w:ascii="Arial" w:hAnsi="Arial" w:cs="Arial"/>
          <w:bCs/>
          <w:sz w:val="20"/>
          <w:szCs w:val="20"/>
        </w:rPr>
        <w:t>The current guidelines are</w:t>
      </w:r>
      <w:r w:rsidRPr="004F2074">
        <w:rPr>
          <w:rFonts w:ascii="Arial" w:hAnsi="Arial" w:cs="Arial"/>
          <w:bCs/>
          <w:sz w:val="20"/>
          <w:szCs w:val="20"/>
        </w:rPr>
        <w:t xml:space="preserve"> due f</w:t>
      </w:r>
      <w:r>
        <w:rPr>
          <w:rFonts w:ascii="Arial" w:hAnsi="Arial" w:cs="Arial"/>
          <w:bCs/>
          <w:sz w:val="20"/>
          <w:szCs w:val="20"/>
        </w:rPr>
        <w:t>or review and in keeping with good regulatory practice the Board is reviewing the guidelines and has developed draft revised guidelines for consultation.</w:t>
      </w:r>
    </w:p>
    <w:p w:rsidR="00A23C60" w:rsidRDefault="00A23C60" w:rsidP="00A23C60">
      <w:pPr>
        <w:spacing w:before="200"/>
        <w:rPr>
          <w:rFonts w:ascii="Arial" w:hAnsi="Arial" w:cs="Arial"/>
          <w:sz w:val="20"/>
          <w:szCs w:val="20"/>
        </w:rPr>
      </w:pPr>
      <w:r>
        <w:rPr>
          <w:rFonts w:ascii="Arial" w:hAnsi="Arial" w:cs="Arial"/>
          <w:sz w:val="20"/>
          <w:szCs w:val="20"/>
        </w:rPr>
        <w:t>Both the current and draft revised guidelines complement the Board’s code ‘</w:t>
      </w:r>
      <w:r w:rsidRPr="005A742C">
        <w:rPr>
          <w:rFonts w:ascii="Arial" w:hAnsi="Arial" w:cs="Arial"/>
          <w:i/>
          <w:sz w:val="20"/>
          <w:szCs w:val="20"/>
        </w:rPr>
        <w:t>Good Medical Practice: A code of conduct for doctors in Australia</w:t>
      </w:r>
      <w:r>
        <w:rPr>
          <w:rFonts w:ascii="Arial" w:hAnsi="Arial" w:cs="Arial"/>
          <w:i/>
          <w:sz w:val="20"/>
          <w:szCs w:val="20"/>
        </w:rPr>
        <w:t xml:space="preserve">’ </w:t>
      </w:r>
      <w:r w:rsidRPr="005A742C">
        <w:rPr>
          <w:rFonts w:ascii="Arial" w:hAnsi="Arial" w:cs="Arial"/>
          <w:sz w:val="20"/>
          <w:szCs w:val="20"/>
        </w:rPr>
        <w:t xml:space="preserve">and provide </w:t>
      </w:r>
      <w:r>
        <w:rPr>
          <w:rFonts w:ascii="Arial" w:hAnsi="Arial" w:cs="Arial"/>
          <w:sz w:val="20"/>
          <w:szCs w:val="20"/>
        </w:rPr>
        <w:t>specific guidance for</w:t>
      </w:r>
      <w:r w:rsidRPr="005A742C">
        <w:rPr>
          <w:rFonts w:ascii="Arial" w:hAnsi="Arial" w:cs="Arial"/>
          <w:sz w:val="20"/>
          <w:szCs w:val="20"/>
        </w:rPr>
        <w:t xml:space="preserve"> medical practitioners on</w:t>
      </w:r>
      <w:r>
        <w:rPr>
          <w:rFonts w:ascii="Arial" w:hAnsi="Arial" w:cs="Arial"/>
          <w:sz w:val="20"/>
          <w:szCs w:val="20"/>
        </w:rPr>
        <w:t xml:space="preserve"> the importance of</w:t>
      </w:r>
      <w:r w:rsidRPr="005A742C">
        <w:rPr>
          <w:rFonts w:ascii="Arial" w:hAnsi="Arial" w:cs="Arial"/>
          <w:sz w:val="20"/>
          <w:szCs w:val="20"/>
        </w:rPr>
        <w:t xml:space="preserve"> maintaining sexual boundaries in the doctor-patient relationship.</w:t>
      </w:r>
    </w:p>
    <w:p w:rsidR="00A23C60" w:rsidRPr="00AE4CF8" w:rsidRDefault="00A23C60" w:rsidP="00A23C60">
      <w:pPr>
        <w:spacing w:before="200"/>
        <w:rPr>
          <w:rFonts w:ascii="Arial" w:hAnsi="Arial" w:cs="Arial"/>
          <w:sz w:val="20"/>
          <w:szCs w:val="20"/>
        </w:rPr>
      </w:pPr>
      <w:r w:rsidRPr="00AE4CF8">
        <w:rPr>
          <w:rFonts w:ascii="Arial" w:hAnsi="Arial" w:cs="Arial"/>
          <w:sz w:val="20"/>
          <w:szCs w:val="20"/>
        </w:rPr>
        <w:t>The development of t</w:t>
      </w:r>
      <w:r>
        <w:rPr>
          <w:rFonts w:ascii="Arial" w:hAnsi="Arial" w:cs="Arial"/>
          <w:sz w:val="20"/>
          <w:szCs w:val="20"/>
        </w:rPr>
        <w:t>he revised draft guidelines has</w:t>
      </w:r>
      <w:r w:rsidRPr="00AE4CF8">
        <w:rPr>
          <w:rFonts w:ascii="Arial" w:hAnsi="Arial" w:cs="Arial"/>
          <w:sz w:val="20"/>
          <w:szCs w:val="20"/>
        </w:rPr>
        <w:t xml:space="preserve"> been informed by </w:t>
      </w:r>
      <w:r>
        <w:rPr>
          <w:rFonts w:ascii="Arial" w:hAnsi="Arial" w:cs="Arial"/>
          <w:sz w:val="20"/>
          <w:szCs w:val="20"/>
        </w:rPr>
        <w:t xml:space="preserve">Professor </w:t>
      </w:r>
      <w:r w:rsidRPr="00AE4CF8">
        <w:rPr>
          <w:rFonts w:ascii="Arial" w:hAnsi="Arial" w:cs="Arial"/>
          <w:sz w:val="20"/>
          <w:szCs w:val="20"/>
        </w:rPr>
        <w:t xml:space="preserve">Ron Paterson’s report of the </w:t>
      </w:r>
      <w:hyperlink r:id="rId14" w:history="1">
        <w:r w:rsidR="00103F42" w:rsidRPr="007F7F6B">
          <w:rPr>
            <w:rStyle w:val="Hyperlink"/>
            <w:rFonts w:ascii="Arial" w:hAnsi="Arial" w:cs="Arial"/>
            <w:i/>
            <w:sz w:val="20"/>
            <w:szCs w:val="20"/>
          </w:rPr>
          <w:t>‘Independent review of the use of chaperones to protect patients in Australia’</w:t>
        </w:r>
      </w:hyperlink>
      <w:r w:rsidR="00103F42">
        <w:rPr>
          <w:rFonts w:ascii="Arial" w:hAnsi="Arial" w:cs="Arial"/>
          <w:sz w:val="20"/>
          <w:szCs w:val="20"/>
        </w:rPr>
        <w:t xml:space="preserve">, </w:t>
      </w:r>
      <w:r w:rsidRPr="00AE4CF8">
        <w:rPr>
          <w:rFonts w:ascii="Arial" w:hAnsi="Arial" w:cs="Arial"/>
          <w:sz w:val="20"/>
          <w:szCs w:val="20"/>
        </w:rPr>
        <w:t>February 2017</w:t>
      </w:r>
      <w:r>
        <w:rPr>
          <w:rFonts w:ascii="Arial" w:hAnsi="Arial" w:cs="Arial"/>
          <w:i/>
          <w:sz w:val="20"/>
          <w:szCs w:val="20"/>
        </w:rPr>
        <w:t xml:space="preserve"> </w:t>
      </w:r>
      <w:r w:rsidRPr="00AE4CF8">
        <w:rPr>
          <w:rFonts w:ascii="Arial" w:hAnsi="Arial" w:cs="Arial"/>
          <w:sz w:val="20"/>
          <w:szCs w:val="20"/>
        </w:rPr>
        <w:t>(the Chaperone Review)</w:t>
      </w:r>
      <w:r>
        <w:rPr>
          <w:rFonts w:ascii="Arial" w:hAnsi="Arial" w:cs="Arial"/>
          <w:i/>
          <w:sz w:val="20"/>
          <w:szCs w:val="20"/>
        </w:rPr>
        <w:t xml:space="preserve"> </w:t>
      </w:r>
      <w:r w:rsidRPr="00AE4CF8">
        <w:rPr>
          <w:rFonts w:ascii="Arial" w:hAnsi="Arial" w:cs="Arial"/>
          <w:sz w:val="20"/>
          <w:szCs w:val="20"/>
        </w:rPr>
        <w:t>and the</w:t>
      </w:r>
      <w:r>
        <w:rPr>
          <w:rFonts w:ascii="Arial" w:hAnsi="Arial" w:cs="Arial"/>
          <w:b/>
          <w:color w:val="008EC4"/>
          <w:sz w:val="20"/>
          <w:szCs w:val="20"/>
        </w:rPr>
        <w:t xml:space="preserve"> </w:t>
      </w:r>
      <w:r w:rsidRPr="00AE4CF8">
        <w:rPr>
          <w:rFonts w:ascii="Arial" w:hAnsi="Arial" w:cs="Arial"/>
          <w:sz w:val="20"/>
          <w:szCs w:val="20"/>
        </w:rPr>
        <w:t xml:space="preserve">Board’s </w:t>
      </w:r>
      <w:r>
        <w:rPr>
          <w:rFonts w:ascii="Arial" w:hAnsi="Arial" w:cs="Arial"/>
          <w:sz w:val="20"/>
          <w:szCs w:val="20"/>
        </w:rPr>
        <w:t>experiences of notifications relating to sexual boundary violations.</w:t>
      </w:r>
    </w:p>
    <w:p w:rsidR="00A23C60" w:rsidRPr="00737946" w:rsidRDefault="00A23C60" w:rsidP="00A23C60">
      <w:pPr>
        <w:pStyle w:val="AHPRAHeadline"/>
        <w:spacing w:before="200"/>
        <w:rPr>
          <w:rFonts w:cs="Arial"/>
          <w:b/>
          <w:sz w:val="20"/>
          <w:szCs w:val="20"/>
        </w:rPr>
      </w:pPr>
      <w:r w:rsidRPr="00737946">
        <w:rPr>
          <w:rFonts w:cs="Arial"/>
          <w:b/>
          <w:sz w:val="20"/>
          <w:szCs w:val="20"/>
        </w:rPr>
        <w:t>Proposed changes</w:t>
      </w:r>
    </w:p>
    <w:p w:rsidR="00A23C60" w:rsidRDefault="00A23C60" w:rsidP="00A23C60">
      <w:pPr>
        <w:pStyle w:val="Default"/>
        <w:spacing w:before="200" w:after="200"/>
        <w:rPr>
          <w:sz w:val="20"/>
          <w:szCs w:val="20"/>
        </w:rPr>
      </w:pPr>
      <w:r>
        <w:rPr>
          <w:sz w:val="20"/>
          <w:szCs w:val="20"/>
        </w:rPr>
        <w:t>The content of the current and revised guidelines is largely the same. The Board is not proposing any significant changes to the professional and ethical conduct expected of medical practitioners. The guidelines have been restructured and reworded to improve readability and to make clear the Board’s expectations of medical practitioners. The proposed changes are:</w:t>
      </w:r>
    </w:p>
    <w:p w:rsidR="00A23C60" w:rsidRPr="000D6565" w:rsidRDefault="00A23C60" w:rsidP="00A23C60">
      <w:pPr>
        <w:pStyle w:val="Default"/>
        <w:numPr>
          <w:ilvl w:val="0"/>
          <w:numId w:val="43"/>
        </w:numPr>
        <w:spacing w:before="200" w:after="200"/>
        <w:ind w:left="357" w:hanging="357"/>
        <w:rPr>
          <w:sz w:val="20"/>
          <w:szCs w:val="20"/>
        </w:rPr>
      </w:pPr>
      <w:r>
        <w:rPr>
          <w:sz w:val="20"/>
          <w:szCs w:val="20"/>
        </w:rPr>
        <w:t>editorial in nature, including restructuring to improve readability and clarification of terms and definitions used</w:t>
      </w:r>
    </w:p>
    <w:p w:rsidR="00A23C60" w:rsidRDefault="00A23C60" w:rsidP="00A23C60">
      <w:pPr>
        <w:pStyle w:val="Default"/>
        <w:numPr>
          <w:ilvl w:val="0"/>
          <w:numId w:val="43"/>
        </w:numPr>
        <w:spacing w:before="200" w:after="200"/>
        <w:ind w:left="357" w:hanging="357"/>
        <w:rPr>
          <w:sz w:val="20"/>
          <w:szCs w:val="20"/>
        </w:rPr>
      </w:pPr>
      <w:r>
        <w:rPr>
          <w:sz w:val="20"/>
          <w:szCs w:val="20"/>
        </w:rPr>
        <w:t>a change in the title to clarify the scope of the guidelines</w:t>
      </w:r>
    </w:p>
    <w:p w:rsidR="00A23C60" w:rsidRDefault="00A23C60" w:rsidP="00A23C60">
      <w:pPr>
        <w:pStyle w:val="Default"/>
        <w:numPr>
          <w:ilvl w:val="0"/>
          <w:numId w:val="43"/>
        </w:numPr>
        <w:spacing w:before="200" w:after="200"/>
        <w:ind w:left="357" w:hanging="357"/>
        <w:rPr>
          <w:sz w:val="20"/>
          <w:szCs w:val="20"/>
        </w:rPr>
      </w:pPr>
      <w:r>
        <w:rPr>
          <w:sz w:val="20"/>
          <w:szCs w:val="20"/>
        </w:rPr>
        <w:t>alignment of the guidelines with the advice and principles contained in the Chaperone Review, including:</w:t>
      </w:r>
    </w:p>
    <w:p w:rsidR="00A23C60" w:rsidRPr="00BC398F" w:rsidRDefault="00A23C60" w:rsidP="00A23C60">
      <w:pPr>
        <w:pStyle w:val="Default"/>
        <w:numPr>
          <w:ilvl w:val="1"/>
          <w:numId w:val="43"/>
        </w:numPr>
        <w:spacing w:before="200" w:after="200"/>
        <w:ind w:left="709" w:hanging="283"/>
        <w:rPr>
          <w:sz w:val="20"/>
          <w:szCs w:val="20"/>
        </w:rPr>
      </w:pPr>
      <w:r>
        <w:rPr>
          <w:sz w:val="20"/>
          <w:szCs w:val="20"/>
        </w:rPr>
        <w:t xml:space="preserve">a re-titled and expanded section </w:t>
      </w:r>
      <w:r w:rsidR="00320B6B">
        <w:rPr>
          <w:sz w:val="20"/>
          <w:szCs w:val="20"/>
        </w:rPr>
        <w:t>2</w:t>
      </w:r>
      <w:r w:rsidRPr="00BC398F">
        <w:rPr>
          <w:sz w:val="20"/>
          <w:szCs w:val="20"/>
        </w:rPr>
        <w:t xml:space="preserve"> (</w:t>
      </w:r>
      <w:r>
        <w:rPr>
          <w:sz w:val="20"/>
          <w:szCs w:val="20"/>
        </w:rPr>
        <w:t>section 4 of the current guidelines</w:t>
      </w:r>
      <w:r w:rsidRPr="00BC398F">
        <w:rPr>
          <w:sz w:val="20"/>
          <w:szCs w:val="20"/>
        </w:rPr>
        <w:t>) on ‘Why breaching sexual boundaries is unethical and harmful’ to incorporate key messages from the Chaperone Review</w:t>
      </w:r>
    </w:p>
    <w:p w:rsidR="00A23C60" w:rsidRPr="00B24202" w:rsidRDefault="00A23C60" w:rsidP="00A23C60">
      <w:pPr>
        <w:pStyle w:val="Default"/>
        <w:numPr>
          <w:ilvl w:val="1"/>
          <w:numId w:val="43"/>
        </w:numPr>
        <w:spacing w:before="200" w:after="200"/>
        <w:ind w:left="709" w:hanging="283"/>
        <w:rPr>
          <w:sz w:val="20"/>
          <w:szCs w:val="20"/>
        </w:rPr>
      </w:pPr>
      <w:r>
        <w:rPr>
          <w:sz w:val="20"/>
          <w:szCs w:val="20"/>
        </w:rPr>
        <w:t xml:space="preserve">revising section 8 of the current guidelines on the ‘Use of chaperones when conducting intimate examinations’ </w:t>
      </w:r>
      <w:r w:rsidR="00320B6B">
        <w:rPr>
          <w:sz w:val="20"/>
          <w:szCs w:val="20"/>
        </w:rPr>
        <w:t xml:space="preserve">(section 7.1 of the revised guidelines) </w:t>
      </w:r>
      <w:r>
        <w:rPr>
          <w:sz w:val="20"/>
          <w:szCs w:val="20"/>
        </w:rPr>
        <w:t>including to replace the term ‘chaperone’ with the term ‘observer’</w:t>
      </w:r>
    </w:p>
    <w:p w:rsidR="00A23C60" w:rsidRDefault="00320B6B" w:rsidP="00A23C60">
      <w:pPr>
        <w:pStyle w:val="AHPRANumberedlistlevel2"/>
        <w:numPr>
          <w:ilvl w:val="0"/>
          <w:numId w:val="43"/>
        </w:numPr>
        <w:spacing w:before="200" w:after="200"/>
        <w:ind w:left="357" w:hanging="357"/>
      </w:pPr>
      <w:r>
        <w:lastRenderedPageBreak/>
        <w:t xml:space="preserve">a new section </w:t>
      </w:r>
      <w:r w:rsidR="00E45884">
        <w:t xml:space="preserve">(section </w:t>
      </w:r>
      <w:r>
        <w:t>4</w:t>
      </w:r>
      <w:r w:rsidR="00E45884">
        <w:t xml:space="preserve"> of revised guidelines)</w:t>
      </w:r>
      <w:r>
        <w:t xml:space="preserve"> on </w:t>
      </w:r>
      <w:r w:rsidR="00A23C60">
        <w:t>maintaining sexual b</w:t>
      </w:r>
      <w:r>
        <w:t>oundaries with current patients</w:t>
      </w:r>
      <w:r w:rsidR="00A23C60">
        <w:t>, including guidance confirming that patients cannot consent to a sexual relationship with their treating practitioner due to the inherent power imbalance in the doctor-patient relationship</w:t>
      </w:r>
    </w:p>
    <w:p w:rsidR="00A23C60" w:rsidRDefault="00320B6B" w:rsidP="00A23C60">
      <w:pPr>
        <w:pStyle w:val="AHPRANumberedlistlevel2"/>
        <w:numPr>
          <w:ilvl w:val="0"/>
          <w:numId w:val="43"/>
        </w:numPr>
        <w:spacing w:before="200" w:after="200"/>
        <w:ind w:left="357" w:hanging="357"/>
      </w:pPr>
      <w:r>
        <w:t xml:space="preserve">a new section </w:t>
      </w:r>
      <w:r w:rsidR="00E45884">
        <w:t xml:space="preserve">(section </w:t>
      </w:r>
      <w:r>
        <w:t>6</w:t>
      </w:r>
      <w:r w:rsidR="00A23C60">
        <w:t xml:space="preserve"> </w:t>
      </w:r>
      <w:r w:rsidR="00E45884">
        <w:t xml:space="preserve">of revised guidelines) </w:t>
      </w:r>
      <w:r w:rsidR="00A23C60">
        <w:t xml:space="preserve">on maintaining </w:t>
      </w:r>
      <w:r>
        <w:t xml:space="preserve">sexual </w:t>
      </w:r>
      <w:r w:rsidR="00A23C60">
        <w:t>boundaries with individuals close to the patient</w:t>
      </w:r>
    </w:p>
    <w:p w:rsidR="00A23C60" w:rsidRDefault="00E45884" w:rsidP="00A23C60">
      <w:pPr>
        <w:pStyle w:val="Default"/>
        <w:numPr>
          <w:ilvl w:val="0"/>
          <w:numId w:val="43"/>
        </w:numPr>
        <w:spacing w:before="200" w:after="200"/>
        <w:ind w:left="357" w:hanging="357"/>
        <w:rPr>
          <w:sz w:val="20"/>
          <w:szCs w:val="20"/>
        </w:rPr>
      </w:pPr>
      <w:r>
        <w:rPr>
          <w:sz w:val="20"/>
          <w:szCs w:val="20"/>
        </w:rPr>
        <w:t>revising the section</w:t>
      </w:r>
      <w:r w:rsidR="00557DE3">
        <w:rPr>
          <w:sz w:val="20"/>
          <w:szCs w:val="20"/>
        </w:rPr>
        <w:t xml:space="preserve"> </w:t>
      </w:r>
      <w:r w:rsidR="00A23C60">
        <w:rPr>
          <w:sz w:val="20"/>
          <w:szCs w:val="20"/>
        </w:rPr>
        <w:t xml:space="preserve">on </w:t>
      </w:r>
      <w:r>
        <w:rPr>
          <w:sz w:val="20"/>
          <w:szCs w:val="20"/>
        </w:rPr>
        <w:t>physical examinations (section 7</w:t>
      </w:r>
      <w:r w:rsidR="00A23C60">
        <w:rPr>
          <w:sz w:val="20"/>
          <w:szCs w:val="20"/>
        </w:rPr>
        <w:t xml:space="preserve"> of </w:t>
      </w:r>
      <w:r>
        <w:rPr>
          <w:sz w:val="20"/>
          <w:szCs w:val="20"/>
        </w:rPr>
        <w:t>revised</w:t>
      </w:r>
      <w:r w:rsidR="00A23C60">
        <w:rPr>
          <w:sz w:val="20"/>
          <w:szCs w:val="20"/>
        </w:rPr>
        <w:t xml:space="preserve"> guidelines</w:t>
      </w:r>
      <w:r>
        <w:rPr>
          <w:sz w:val="20"/>
          <w:szCs w:val="20"/>
        </w:rPr>
        <w:t xml:space="preserve"> and section 8 of current guidelines</w:t>
      </w:r>
      <w:r w:rsidR="00A23C60">
        <w:rPr>
          <w:sz w:val="20"/>
          <w:szCs w:val="20"/>
        </w:rPr>
        <w:t>) to:</w:t>
      </w:r>
    </w:p>
    <w:p w:rsidR="00A23C60" w:rsidRDefault="00A23C60" w:rsidP="00A23C60">
      <w:pPr>
        <w:pStyle w:val="Default"/>
        <w:numPr>
          <w:ilvl w:val="1"/>
          <w:numId w:val="43"/>
        </w:numPr>
        <w:spacing w:before="200" w:after="200"/>
        <w:ind w:left="709" w:hanging="283"/>
        <w:rPr>
          <w:sz w:val="20"/>
          <w:szCs w:val="20"/>
        </w:rPr>
      </w:pPr>
      <w:r w:rsidRPr="00AE4CF8">
        <w:rPr>
          <w:sz w:val="20"/>
          <w:szCs w:val="20"/>
        </w:rPr>
        <w:t xml:space="preserve">confirm that doctors should only conduct physical examinations if they are clinically warranted and highlighting that unnecessary physical examinations may constitute sexual assault or abuse. </w:t>
      </w:r>
      <w:r w:rsidRPr="00BC398F">
        <w:rPr>
          <w:sz w:val="20"/>
          <w:szCs w:val="20"/>
        </w:rPr>
        <w:t>This includes conducting or allowing others, such as students, to conduct examinations on anaesthetised patients, when the patient has not given expli</w:t>
      </w:r>
      <w:r>
        <w:rPr>
          <w:sz w:val="20"/>
          <w:szCs w:val="20"/>
        </w:rPr>
        <w:t>cit consent for the examination</w:t>
      </w:r>
    </w:p>
    <w:p w:rsidR="00A23C60" w:rsidRDefault="00A23C60" w:rsidP="00A23C60">
      <w:pPr>
        <w:pStyle w:val="AHPRANumberedlistlevel2"/>
        <w:numPr>
          <w:ilvl w:val="1"/>
          <w:numId w:val="43"/>
        </w:numPr>
        <w:spacing w:before="200" w:after="200"/>
        <w:ind w:left="709" w:hanging="283"/>
      </w:pPr>
      <w:r>
        <w:t>include a provision on assessing the capacity of a child patient or young person to give consent</w:t>
      </w:r>
    </w:p>
    <w:p w:rsidR="00A23C60" w:rsidRPr="000D6565" w:rsidRDefault="00557DE3" w:rsidP="00A23C60">
      <w:pPr>
        <w:pStyle w:val="Default"/>
        <w:numPr>
          <w:ilvl w:val="0"/>
          <w:numId w:val="43"/>
        </w:numPr>
        <w:spacing w:before="200" w:after="200"/>
        <w:ind w:left="357" w:hanging="357"/>
        <w:rPr>
          <w:sz w:val="20"/>
          <w:szCs w:val="20"/>
        </w:rPr>
      </w:pPr>
      <w:r>
        <w:rPr>
          <w:sz w:val="20"/>
          <w:szCs w:val="20"/>
        </w:rPr>
        <w:t>a new section</w:t>
      </w:r>
      <w:r w:rsidR="00A23C60">
        <w:rPr>
          <w:sz w:val="20"/>
          <w:szCs w:val="20"/>
        </w:rPr>
        <w:t xml:space="preserve"> on social media </w:t>
      </w:r>
      <w:r>
        <w:rPr>
          <w:sz w:val="20"/>
          <w:szCs w:val="20"/>
        </w:rPr>
        <w:t xml:space="preserve">(section 8 of revised guidelines) </w:t>
      </w:r>
      <w:r w:rsidR="00A23C60">
        <w:rPr>
          <w:sz w:val="20"/>
          <w:szCs w:val="20"/>
        </w:rPr>
        <w:t xml:space="preserve">which complements the National Boards current Social media policy accessible at: </w:t>
      </w:r>
      <w:hyperlink r:id="rId15" w:history="1">
        <w:r w:rsidR="007F7F6B" w:rsidRPr="00E115B6">
          <w:rPr>
            <w:rStyle w:val="Hyperlink"/>
            <w:sz w:val="20"/>
            <w:szCs w:val="20"/>
          </w:rPr>
          <w:t>www.medicalboard.gov.au/Codes-Guidelines-Policies/Social-media-policy.aspx</w:t>
        </w:r>
      </w:hyperlink>
    </w:p>
    <w:p w:rsidR="00A23C60" w:rsidRPr="00BA5CC1" w:rsidRDefault="00A23C60" w:rsidP="00A23C60">
      <w:pPr>
        <w:pStyle w:val="Default"/>
        <w:numPr>
          <w:ilvl w:val="0"/>
          <w:numId w:val="43"/>
        </w:numPr>
        <w:spacing w:before="200" w:after="200"/>
        <w:ind w:left="357" w:hanging="357"/>
        <w:rPr>
          <w:sz w:val="20"/>
          <w:szCs w:val="20"/>
        </w:rPr>
      </w:pPr>
      <w:r w:rsidRPr="00BA5CC1">
        <w:rPr>
          <w:sz w:val="20"/>
          <w:szCs w:val="20"/>
        </w:rPr>
        <w:t>a new definitions section</w:t>
      </w:r>
      <w:r>
        <w:rPr>
          <w:sz w:val="20"/>
          <w:szCs w:val="20"/>
        </w:rPr>
        <w:t>, including definitions from section 3 of the current guidelines that have been updated and clarified.</w:t>
      </w:r>
    </w:p>
    <w:p w:rsidR="00A23C60" w:rsidRPr="00C2396E" w:rsidRDefault="00A23C60" w:rsidP="00A23C60">
      <w:pPr>
        <w:pStyle w:val="Default"/>
        <w:spacing w:before="200" w:after="200"/>
        <w:rPr>
          <w:rFonts w:eastAsia="Times New Roman"/>
          <w:b/>
          <w:color w:val="008EC4"/>
          <w:sz w:val="20"/>
          <w:szCs w:val="20"/>
          <w:lang w:val="en-US"/>
        </w:rPr>
      </w:pPr>
      <w:r>
        <w:rPr>
          <w:rFonts w:eastAsia="Times New Roman"/>
          <w:b/>
          <w:color w:val="008EC4"/>
          <w:sz w:val="20"/>
          <w:szCs w:val="20"/>
          <w:lang w:val="en-US"/>
        </w:rPr>
        <w:t>Options</w:t>
      </w:r>
    </w:p>
    <w:p w:rsidR="00A23C60" w:rsidRPr="00732A46" w:rsidRDefault="00A23C60" w:rsidP="00A23C60">
      <w:pPr>
        <w:spacing w:before="200"/>
        <w:rPr>
          <w:rFonts w:ascii="Arial" w:hAnsi="Arial" w:cs="Arial"/>
          <w:sz w:val="20"/>
          <w:szCs w:val="20"/>
        </w:rPr>
      </w:pPr>
      <w:r w:rsidRPr="00732A46">
        <w:rPr>
          <w:rFonts w:ascii="Arial" w:hAnsi="Arial" w:cs="Arial"/>
          <w:sz w:val="20"/>
          <w:szCs w:val="20"/>
        </w:rPr>
        <w:t>The Board has considered the following options in developing this proposal.</w:t>
      </w:r>
    </w:p>
    <w:p w:rsidR="00A23C60" w:rsidRPr="00C2396E" w:rsidRDefault="00A23C60" w:rsidP="00A23C60">
      <w:pPr>
        <w:spacing w:before="200"/>
        <w:rPr>
          <w:rFonts w:ascii="Arial" w:hAnsi="Arial" w:cs="Arial"/>
          <w:b/>
          <w:sz w:val="20"/>
          <w:szCs w:val="20"/>
        </w:rPr>
      </w:pPr>
      <w:r w:rsidRPr="00C2396E">
        <w:rPr>
          <w:rFonts w:ascii="Arial" w:hAnsi="Arial" w:cs="Arial"/>
          <w:b/>
          <w:sz w:val="20"/>
          <w:szCs w:val="20"/>
        </w:rPr>
        <w:t xml:space="preserve">Option 1 – </w:t>
      </w:r>
      <w:r>
        <w:rPr>
          <w:rFonts w:ascii="Arial" w:hAnsi="Arial" w:cs="Arial"/>
          <w:b/>
          <w:sz w:val="20"/>
          <w:szCs w:val="20"/>
        </w:rPr>
        <w:t>Maintain the s</w:t>
      </w:r>
      <w:r w:rsidRPr="00C2396E">
        <w:rPr>
          <w:rFonts w:ascii="Arial" w:hAnsi="Arial" w:cs="Arial"/>
          <w:b/>
          <w:sz w:val="20"/>
          <w:szCs w:val="20"/>
        </w:rPr>
        <w:t xml:space="preserve">tatus quo </w:t>
      </w:r>
    </w:p>
    <w:p w:rsidR="00A23C60" w:rsidRPr="00732A46" w:rsidRDefault="00A23C60" w:rsidP="00A23C60">
      <w:pPr>
        <w:autoSpaceDE w:val="0"/>
        <w:autoSpaceDN w:val="0"/>
        <w:adjustRightInd w:val="0"/>
        <w:spacing w:before="200"/>
        <w:rPr>
          <w:rFonts w:ascii="Arial" w:hAnsi="Arial" w:cs="Arial"/>
          <w:sz w:val="20"/>
          <w:szCs w:val="20"/>
        </w:rPr>
      </w:pPr>
      <w:r w:rsidRPr="00732A46">
        <w:rPr>
          <w:rFonts w:ascii="Arial" w:hAnsi="Arial" w:cs="Arial"/>
          <w:sz w:val="20"/>
          <w:szCs w:val="20"/>
        </w:rPr>
        <w:t xml:space="preserve">Option 1 </w:t>
      </w:r>
      <w:r>
        <w:rPr>
          <w:rFonts w:ascii="Arial" w:hAnsi="Arial" w:cs="Arial"/>
          <w:sz w:val="20"/>
          <w:szCs w:val="20"/>
        </w:rPr>
        <w:t>is</w:t>
      </w:r>
      <w:r w:rsidRPr="00732A46">
        <w:rPr>
          <w:rFonts w:ascii="Arial" w:hAnsi="Arial" w:cs="Arial"/>
          <w:sz w:val="20"/>
          <w:szCs w:val="20"/>
        </w:rPr>
        <w:t xml:space="preserve"> to continue with the existing </w:t>
      </w:r>
      <w:r>
        <w:rPr>
          <w:rFonts w:ascii="Arial" w:hAnsi="Arial" w:cs="Arial"/>
          <w:sz w:val="20"/>
          <w:szCs w:val="20"/>
        </w:rPr>
        <w:t xml:space="preserve">guidelines. </w:t>
      </w:r>
    </w:p>
    <w:p w:rsidR="00A23C60" w:rsidRPr="00C2396E" w:rsidRDefault="00A23C60" w:rsidP="00A23C60">
      <w:pPr>
        <w:spacing w:before="200"/>
        <w:rPr>
          <w:rFonts w:ascii="Arial" w:hAnsi="Arial" w:cs="Arial"/>
          <w:b/>
          <w:sz w:val="20"/>
          <w:szCs w:val="20"/>
        </w:rPr>
      </w:pPr>
      <w:r w:rsidRPr="00C2396E">
        <w:rPr>
          <w:rFonts w:ascii="Arial" w:hAnsi="Arial" w:cs="Arial"/>
          <w:b/>
          <w:sz w:val="20"/>
          <w:szCs w:val="20"/>
        </w:rPr>
        <w:t xml:space="preserve">Option 2 – Proposed revised </w:t>
      </w:r>
      <w:r>
        <w:rPr>
          <w:rFonts w:ascii="Arial" w:hAnsi="Arial" w:cs="Arial"/>
          <w:b/>
          <w:sz w:val="20"/>
          <w:szCs w:val="20"/>
        </w:rPr>
        <w:t>guideline</w:t>
      </w:r>
      <w:r w:rsidRPr="00C2396E">
        <w:rPr>
          <w:rFonts w:ascii="Arial" w:hAnsi="Arial" w:cs="Arial"/>
          <w:b/>
          <w:sz w:val="20"/>
          <w:szCs w:val="20"/>
        </w:rPr>
        <w:t xml:space="preserve"> </w:t>
      </w:r>
    </w:p>
    <w:p w:rsidR="00A23C60" w:rsidRPr="00421C3A" w:rsidRDefault="00A23C60" w:rsidP="00A23C60">
      <w:pPr>
        <w:autoSpaceDE w:val="0"/>
        <w:autoSpaceDN w:val="0"/>
        <w:adjustRightInd w:val="0"/>
        <w:spacing w:before="200"/>
        <w:rPr>
          <w:rFonts w:ascii="Arial" w:hAnsi="Arial" w:cs="Arial"/>
          <w:sz w:val="20"/>
          <w:szCs w:val="20"/>
        </w:rPr>
      </w:pPr>
      <w:r w:rsidRPr="00732A46">
        <w:rPr>
          <w:rFonts w:ascii="Arial" w:hAnsi="Arial" w:cs="Arial"/>
          <w:sz w:val="20"/>
          <w:szCs w:val="20"/>
        </w:rPr>
        <w:t xml:space="preserve">Option 2 </w:t>
      </w:r>
      <w:r>
        <w:rPr>
          <w:rFonts w:ascii="Arial" w:hAnsi="Arial" w:cs="Arial"/>
          <w:sz w:val="20"/>
          <w:szCs w:val="20"/>
        </w:rPr>
        <w:t>is to consult on proposed changes to the current guidelines.</w:t>
      </w:r>
      <w:r w:rsidRPr="00732A46">
        <w:rPr>
          <w:rFonts w:ascii="Arial" w:hAnsi="Arial" w:cs="Arial"/>
          <w:sz w:val="20"/>
          <w:szCs w:val="20"/>
        </w:rPr>
        <w:t xml:space="preserve"> </w:t>
      </w:r>
      <w:r>
        <w:rPr>
          <w:rFonts w:ascii="Arial" w:hAnsi="Arial" w:cs="Arial"/>
          <w:sz w:val="20"/>
          <w:szCs w:val="20"/>
        </w:rPr>
        <w:t xml:space="preserve">Under this option, the </w:t>
      </w:r>
      <w:r w:rsidRPr="00732A46">
        <w:rPr>
          <w:rFonts w:ascii="Arial" w:hAnsi="Arial" w:cs="Arial"/>
          <w:sz w:val="20"/>
          <w:szCs w:val="20"/>
        </w:rPr>
        <w:t xml:space="preserve">revised </w:t>
      </w:r>
      <w:r>
        <w:rPr>
          <w:rFonts w:ascii="Arial" w:hAnsi="Arial" w:cs="Arial"/>
          <w:sz w:val="20"/>
          <w:szCs w:val="20"/>
        </w:rPr>
        <w:t>guidelines</w:t>
      </w:r>
      <w:r w:rsidRPr="00732A46">
        <w:rPr>
          <w:rFonts w:ascii="Arial" w:hAnsi="Arial" w:cs="Arial"/>
          <w:sz w:val="20"/>
          <w:szCs w:val="20"/>
        </w:rPr>
        <w:t xml:space="preserve"> </w:t>
      </w:r>
      <w:r>
        <w:rPr>
          <w:rFonts w:ascii="Arial" w:hAnsi="Arial" w:cs="Arial"/>
          <w:sz w:val="20"/>
          <w:szCs w:val="20"/>
        </w:rPr>
        <w:t>will continue to</w:t>
      </w:r>
      <w:r w:rsidRPr="00732A46">
        <w:rPr>
          <w:rFonts w:ascii="Arial" w:hAnsi="Arial" w:cs="Arial"/>
          <w:sz w:val="20"/>
          <w:szCs w:val="20"/>
        </w:rPr>
        <w:t xml:space="preserve"> </w:t>
      </w:r>
      <w:r>
        <w:rPr>
          <w:rFonts w:ascii="Arial" w:hAnsi="Arial" w:cs="Arial"/>
          <w:sz w:val="20"/>
          <w:szCs w:val="20"/>
        </w:rPr>
        <w:t xml:space="preserve">define the professional and ethical conduct expected of medical practitioners by the Board, peers and the community. </w:t>
      </w:r>
      <w:r w:rsidRPr="00732A46">
        <w:rPr>
          <w:rFonts w:ascii="Arial" w:hAnsi="Arial" w:cs="Arial"/>
          <w:sz w:val="20"/>
          <w:szCs w:val="20"/>
        </w:rPr>
        <w:t xml:space="preserve">The </w:t>
      </w:r>
      <w:r>
        <w:rPr>
          <w:rFonts w:ascii="Arial" w:hAnsi="Arial" w:cs="Arial"/>
          <w:sz w:val="20"/>
          <w:szCs w:val="20"/>
        </w:rPr>
        <w:t xml:space="preserve">proposed </w:t>
      </w:r>
      <w:r w:rsidRPr="00732A46">
        <w:rPr>
          <w:rFonts w:ascii="Arial" w:hAnsi="Arial" w:cs="Arial"/>
          <w:sz w:val="20"/>
          <w:szCs w:val="20"/>
        </w:rPr>
        <w:t>revisio</w:t>
      </w:r>
      <w:r>
        <w:rPr>
          <w:rFonts w:ascii="Arial" w:hAnsi="Arial" w:cs="Arial"/>
          <w:sz w:val="20"/>
          <w:szCs w:val="20"/>
        </w:rPr>
        <w:t>ns are mostly editorial in nature, restructuring to improve readability and updated where necessary to ensure currency of content, such as aligning the guidelines with the advice and principles contained in the Chaperone Review and by adding a section on social media.</w:t>
      </w:r>
    </w:p>
    <w:p w:rsidR="00A23C60" w:rsidRPr="00C2396E" w:rsidRDefault="00A23C60" w:rsidP="00A23C60">
      <w:pPr>
        <w:spacing w:before="200"/>
        <w:rPr>
          <w:rFonts w:ascii="Arial" w:hAnsi="Arial" w:cs="Arial"/>
          <w:b/>
          <w:bCs/>
          <w:sz w:val="20"/>
          <w:szCs w:val="20"/>
        </w:rPr>
      </w:pPr>
      <w:r w:rsidRPr="00C2396E">
        <w:rPr>
          <w:rFonts w:ascii="Arial" w:hAnsi="Arial" w:cs="Arial"/>
          <w:b/>
          <w:bCs/>
          <w:sz w:val="20"/>
          <w:szCs w:val="20"/>
        </w:rPr>
        <w:t>Preferred option</w:t>
      </w:r>
    </w:p>
    <w:p w:rsidR="00A23C60" w:rsidRDefault="00A23C60" w:rsidP="00A23C60">
      <w:pPr>
        <w:spacing w:before="200"/>
        <w:rPr>
          <w:rFonts w:ascii="Arial" w:hAnsi="Arial" w:cs="Arial"/>
          <w:bCs/>
          <w:color w:val="000000"/>
          <w:sz w:val="20"/>
          <w:szCs w:val="20"/>
          <w:lang w:eastAsia="en-AU"/>
        </w:rPr>
      </w:pPr>
      <w:r w:rsidRPr="00BB1EA7">
        <w:rPr>
          <w:rFonts w:ascii="Arial" w:hAnsi="Arial" w:cs="Arial"/>
          <w:bCs/>
          <w:color w:val="000000"/>
          <w:sz w:val="20"/>
          <w:szCs w:val="20"/>
          <w:lang w:eastAsia="en-AU"/>
        </w:rPr>
        <w:t>The Board prefers Option 2.</w:t>
      </w:r>
    </w:p>
    <w:p w:rsidR="00A23C60" w:rsidRPr="001B7E64" w:rsidRDefault="00A23C60" w:rsidP="00A23C60">
      <w:pPr>
        <w:pStyle w:val="Default"/>
        <w:spacing w:before="200" w:after="200"/>
        <w:rPr>
          <w:rFonts w:eastAsia="Times New Roman"/>
          <w:b/>
          <w:color w:val="008EC4"/>
          <w:sz w:val="20"/>
          <w:szCs w:val="20"/>
          <w:lang w:val="en-US"/>
        </w:rPr>
      </w:pPr>
      <w:r>
        <w:rPr>
          <w:rFonts w:eastAsia="Times New Roman"/>
          <w:b/>
          <w:color w:val="008EC4"/>
          <w:sz w:val="20"/>
          <w:szCs w:val="20"/>
          <w:lang w:val="en-US"/>
        </w:rPr>
        <w:t>Issues for consultation</w:t>
      </w:r>
    </w:p>
    <w:p w:rsidR="00A23C60" w:rsidRPr="001B7E64" w:rsidRDefault="00A23C60" w:rsidP="00A23C60">
      <w:pPr>
        <w:spacing w:before="200"/>
        <w:rPr>
          <w:rFonts w:ascii="Arial" w:hAnsi="Arial" w:cs="Arial"/>
          <w:b/>
          <w:bCs/>
          <w:sz w:val="20"/>
          <w:szCs w:val="20"/>
        </w:rPr>
      </w:pPr>
      <w:r w:rsidRPr="001B7E64">
        <w:rPr>
          <w:rFonts w:ascii="Arial" w:hAnsi="Arial" w:cs="Arial"/>
          <w:b/>
          <w:bCs/>
          <w:sz w:val="20"/>
          <w:szCs w:val="20"/>
        </w:rPr>
        <w:t>Potential benefits and costs of the proposal</w:t>
      </w:r>
    </w:p>
    <w:p w:rsidR="00A23C60" w:rsidRPr="00C2396E" w:rsidRDefault="00A23C60" w:rsidP="00A23C60">
      <w:pPr>
        <w:pStyle w:val="Default"/>
        <w:spacing w:before="200" w:after="200"/>
        <w:rPr>
          <w:sz w:val="20"/>
          <w:szCs w:val="20"/>
        </w:rPr>
      </w:pPr>
      <w:r w:rsidRPr="00C2396E">
        <w:rPr>
          <w:sz w:val="20"/>
          <w:szCs w:val="20"/>
        </w:rPr>
        <w:t xml:space="preserve">The benefits of the preferred option are that the draft revised </w:t>
      </w:r>
      <w:r>
        <w:rPr>
          <w:sz w:val="20"/>
          <w:szCs w:val="20"/>
        </w:rPr>
        <w:t>guidelines</w:t>
      </w:r>
      <w:r w:rsidRPr="00C2396E">
        <w:rPr>
          <w:sz w:val="20"/>
          <w:szCs w:val="20"/>
        </w:rPr>
        <w:t>:</w:t>
      </w:r>
    </w:p>
    <w:p w:rsidR="00A23C60" w:rsidRPr="00296377" w:rsidRDefault="00A23C60" w:rsidP="00A23C60">
      <w:pPr>
        <w:pStyle w:val="Default"/>
        <w:numPr>
          <w:ilvl w:val="0"/>
          <w:numId w:val="40"/>
        </w:numPr>
        <w:spacing w:before="200" w:after="200"/>
        <w:ind w:left="357" w:hanging="357"/>
        <w:rPr>
          <w:sz w:val="20"/>
          <w:szCs w:val="20"/>
        </w:rPr>
      </w:pPr>
      <w:r>
        <w:rPr>
          <w:sz w:val="20"/>
          <w:szCs w:val="20"/>
        </w:rPr>
        <w:t>maintain the</w:t>
      </w:r>
      <w:r w:rsidRPr="00C2396E">
        <w:rPr>
          <w:sz w:val="20"/>
          <w:szCs w:val="20"/>
        </w:rPr>
        <w:t xml:space="preserve"> balance between protecting the public and</w:t>
      </w:r>
      <w:r>
        <w:rPr>
          <w:sz w:val="20"/>
          <w:szCs w:val="20"/>
        </w:rPr>
        <w:t xml:space="preserve"> the</w:t>
      </w:r>
      <w:r w:rsidRPr="00C2396E">
        <w:rPr>
          <w:sz w:val="20"/>
          <w:szCs w:val="20"/>
        </w:rPr>
        <w:t xml:space="preserve"> impact on </w:t>
      </w:r>
      <w:r>
        <w:rPr>
          <w:sz w:val="20"/>
          <w:szCs w:val="20"/>
        </w:rPr>
        <w:t>medical practitioners</w:t>
      </w:r>
    </w:p>
    <w:p w:rsidR="00A23C60" w:rsidRDefault="00A23C60" w:rsidP="00A23C60">
      <w:pPr>
        <w:pStyle w:val="Default"/>
        <w:numPr>
          <w:ilvl w:val="0"/>
          <w:numId w:val="40"/>
        </w:numPr>
        <w:spacing w:before="200" w:after="200"/>
        <w:ind w:left="357" w:hanging="357"/>
        <w:rPr>
          <w:sz w:val="20"/>
          <w:szCs w:val="20"/>
        </w:rPr>
      </w:pPr>
      <w:r>
        <w:rPr>
          <w:sz w:val="20"/>
          <w:szCs w:val="20"/>
        </w:rPr>
        <w:t>provide specific guidance for medical practitioners on the importance of maintaining sexual boundaries in the doctor-patient relationship</w:t>
      </w:r>
    </w:p>
    <w:p w:rsidR="00A23C60" w:rsidRDefault="00A23C60" w:rsidP="00A23C60">
      <w:pPr>
        <w:pStyle w:val="Default"/>
        <w:numPr>
          <w:ilvl w:val="0"/>
          <w:numId w:val="40"/>
        </w:numPr>
        <w:spacing w:before="200" w:after="200"/>
        <w:ind w:left="357" w:hanging="357"/>
        <w:rPr>
          <w:sz w:val="20"/>
          <w:szCs w:val="20"/>
        </w:rPr>
      </w:pPr>
      <w:r>
        <w:rPr>
          <w:sz w:val="20"/>
          <w:szCs w:val="20"/>
        </w:rPr>
        <w:t>clearly set out the standards of ethical and professional conduct expected of medical practitioners by the Board, their professional peers and the community</w:t>
      </w:r>
    </w:p>
    <w:p w:rsidR="00A23C60" w:rsidRPr="00C2396E" w:rsidRDefault="00A23C60" w:rsidP="00A23C60">
      <w:pPr>
        <w:pStyle w:val="Default"/>
        <w:numPr>
          <w:ilvl w:val="0"/>
          <w:numId w:val="40"/>
        </w:numPr>
        <w:spacing w:before="200" w:after="200"/>
        <w:ind w:left="357" w:hanging="357"/>
        <w:rPr>
          <w:sz w:val="20"/>
          <w:szCs w:val="20"/>
        </w:rPr>
      </w:pPr>
      <w:r>
        <w:rPr>
          <w:sz w:val="20"/>
          <w:szCs w:val="20"/>
        </w:rPr>
        <w:lastRenderedPageBreak/>
        <w:t>have been updated to address any emerging issues i.e. the increasing use of social media and the advice and principles contained in the Chaperone Review</w:t>
      </w:r>
    </w:p>
    <w:p w:rsidR="00A23C60" w:rsidRPr="00E84B0D" w:rsidRDefault="00A23C60" w:rsidP="00A23C60">
      <w:pPr>
        <w:pStyle w:val="Default"/>
        <w:numPr>
          <w:ilvl w:val="0"/>
          <w:numId w:val="40"/>
        </w:numPr>
        <w:spacing w:before="200" w:after="200"/>
        <w:ind w:left="357" w:hanging="357"/>
        <w:rPr>
          <w:sz w:val="20"/>
          <w:szCs w:val="20"/>
        </w:rPr>
      </w:pPr>
      <w:r>
        <w:rPr>
          <w:sz w:val="20"/>
          <w:szCs w:val="20"/>
        </w:rPr>
        <w:t>have</w:t>
      </w:r>
      <w:r w:rsidRPr="00C2396E">
        <w:rPr>
          <w:sz w:val="20"/>
          <w:szCs w:val="20"/>
        </w:rPr>
        <w:t xml:space="preserve"> been </w:t>
      </w:r>
      <w:r>
        <w:rPr>
          <w:sz w:val="20"/>
          <w:szCs w:val="20"/>
        </w:rPr>
        <w:t>restructured to improve readability</w:t>
      </w:r>
      <w:r w:rsidRPr="00C2396E">
        <w:rPr>
          <w:sz w:val="20"/>
          <w:szCs w:val="20"/>
        </w:rPr>
        <w:t>.</w:t>
      </w:r>
    </w:p>
    <w:p w:rsidR="00A23C60" w:rsidRDefault="00A23C60" w:rsidP="00A23C60">
      <w:pPr>
        <w:pStyle w:val="Default"/>
        <w:spacing w:before="200" w:after="200"/>
        <w:rPr>
          <w:sz w:val="20"/>
          <w:szCs w:val="20"/>
        </w:rPr>
      </w:pPr>
      <w:r>
        <w:rPr>
          <w:sz w:val="20"/>
          <w:szCs w:val="20"/>
        </w:rPr>
        <w:t>The Board’s preferred option does not propose any changes to the current standards of ethical and professional conduct expected of medical practitioners. T</w:t>
      </w:r>
      <w:r w:rsidRPr="00C2396E">
        <w:rPr>
          <w:sz w:val="20"/>
          <w:szCs w:val="20"/>
        </w:rPr>
        <w:t>he</w:t>
      </w:r>
      <w:r>
        <w:rPr>
          <w:sz w:val="20"/>
          <w:szCs w:val="20"/>
        </w:rPr>
        <w:t>refore the</w:t>
      </w:r>
      <w:r w:rsidRPr="00C2396E">
        <w:rPr>
          <w:sz w:val="20"/>
          <w:szCs w:val="20"/>
        </w:rPr>
        <w:t xml:space="preserve"> costs of the preferred option</w:t>
      </w:r>
      <w:r>
        <w:rPr>
          <w:sz w:val="20"/>
          <w:szCs w:val="20"/>
        </w:rPr>
        <w:t xml:space="preserve"> will be minimal and confined to medical practitioners</w:t>
      </w:r>
      <w:r w:rsidRPr="00C2396E">
        <w:rPr>
          <w:sz w:val="20"/>
          <w:szCs w:val="20"/>
        </w:rPr>
        <w:t xml:space="preserve"> becom</w:t>
      </w:r>
      <w:r>
        <w:rPr>
          <w:sz w:val="20"/>
          <w:szCs w:val="20"/>
        </w:rPr>
        <w:t>ing</w:t>
      </w:r>
      <w:r w:rsidRPr="00C2396E">
        <w:rPr>
          <w:sz w:val="20"/>
          <w:szCs w:val="20"/>
        </w:rPr>
        <w:t xml:space="preserve"> familiar with the </w:t>
      </w:r>
      <w:r w:rsidR="007F7F6B">
        <w:rPr>
          <w:sz w:val="20"/>
          <w:szCs w:val="20"/>
        </w:rPr>
        <w:t>new guidelines.</w:t>
      </w:r>
    </w:p>
    <w:p w:rsidR="00A23C60" w:rsidRPr="001B7E64" w:rsidRDefault="00A23C60" w:rsidP="00A23C60">
      <w:pPr>
        <w:spacing w:before="200"/>
        <w:rPr>
          <w:rFonts w:ascii="Arial" w:hAnsi="Arial" w:cs="Arial"/>
          <w:b/>
          <w:bCs/>
          <w:sz w:val="20"/>
          <w:szCs w:val="20"/>
        </w:rPr>
      </w:pPr>
      <w:r w:rsidRPr="001B7E64">
        <w:rPr>
          <w:rFonts w:ascii="Arial" w:hAnsi="Arial" w:cs="Arial"/>
          <w:b/>
          <w:bCs/>
          <w:sz w:val="20"/>
          <w:szCs w:val="20"/>
        </w:rPr>
        <w:t xml:space="preserve">Estimated impacts of the draft revised </w:t>
      </w:r>
      <w:r>
        <w:rPr>
          <w:rFonts w:ascii="Arial" w:hAnsi="Arial" w:cs="Arial"/>
          <w:b/>
          <w:bCs/>
          <w:sz w:val="20"/>
          <w:szCs w:val="20"/>
        </w:rPr>
        <w:t>guidelines</w:t>
      </w:r>
    </w:p>
    <w:p w:rsidR="00A23C60" w:rsidRPr="00BB1EA7" w:rsidRDefault="00A23C60" w:rsidP="00A23C60">
      <w:pPr>
        <w:pStyle w:val="Default"/>
        <w:spacing w:before="200" w:after="200"/>
        <w:rPr>
          <w:sz w:val="20"/>
          <w:szCs w:val="20"/>
        </w:rPr>
      </w:pPr>
      <w:r w:rsidRPr="00BB1EA7">
        <w:rPr>
          <w:sz w:val="20"/>
          <w:szCs w:val="20"/>
        </w:rPr>
        <w:t xml:space="preserve">The </w:t>
      </w:r>
      <w:r>
        <w:rPr>
          <w:sz w:val="20"/>
          <w:szCs w:val="20"/>
        </w:rPr>
        <w:t>Board does not propose any significant changes to the current guidelines</w:t>
      </w:r>
      <w:r w:rsidRPr="00BB1EA7">
        <w:rPr>
          <w:sz w:val="20"/>
          <w:szCs w:val="20"/>
        </w:rPr>
        <w:t>, although more significant changes may emerge through consultation. There is little impact anticipated on practitioners, business and other stakeholders arising from the changes proposed.</w:t>
      </w:r>
    </w:p>
    <w:p w:rsidR="00A23C60" w:rsidRPr="00BB1EA7" w:rsidRDefault="00A23C60" w:rsidP="00A23C60">
      <w:pPr>
        <w:pStyle w:val="AHPRASubhead"/>
        <w:spacing w:before="200"/>
        <w:rPr>
          <w:lang w:eastAsia="en-AU"/>
        </w:rPr>
      </w:pPr>
      <w:r w:rsidRPr="00BB1EA7">
        <w:rPr>
          <w:lang w:eastAsia="en-AU"/>
        </w:rPr>
        <w:t>Relevant sections of the National Law</w:t>
      </w:r>
    </w:p>
    <w:p w:rsidR="00A23C60" w:rsidRPr="008B1964" w:rsidRDefault="00A23C60" w:rsidP="00A23C60">
      <w:pPr>
        <w:pStyle w:val="Default"/>
        <w:spacing w:before="200" w:after="200"/>
        <w:rPr>
          <w:sz w:val="20"/>
          <w:szCs w:val="20"/>
        </w:rPr>
      </w:pPr>
      <w:r w:rsidRPr="008B1964">
        <w:rPr>
          <w:sz w:val="20"/>
          <w:szCs w:val="20"/>
        </w:rPr>
        <w:t xml:space="preserve">The relevant sections of the National Law </w:t>
      </w:r>
      <w:r>
        <w:rPr>
          <w:sz w:val="20"/>
          <w:szCs w:val="20"/>
        </w:rPr>
        <w:t>are</w:t>
      </w:r>
      <w:r w:rsidRPr="008B1964">
        <w:rPr>
          <w:sz w:val="20"/>
          <w:szCs w:val="20"/>
        </w:rPr>
        <w:t xml:space="preserve"> </w:t>
      </w:r>
      <w:r>
        <w:rPr>
          <w:sz w:val="20"/>
          <w:szCs w:val="20"/>
        </w:rPr>
        <w:t>sections 39, 40 and 41.</w:t>
      </w:r>
    </w:p>
    <w:p w:rsidR="00A23C60" w:rsidRDefault="005974CD" w:rsidP="00A23C60">
      <w:pPr>
        <w:pStyle w:val="AHPRASubhead"/>
        <w:spacing w:before="200"/>
        <w:rPr>
          <w:lang w:eastAsia="en-AU"/>
        </w:rPr>
      </w:pPr>
      <w:r>
        <w:rPr>
          <w:noProof/>
          <w:lang w:val="en-AU" w:eastAsia="en-AU"/>
        </w:rPr>
        <w:pict>
          <v:rect id="Rectangle 1" o:spid="_x0000_s1026" style="position:absolute;margin-left:-20.55pt;margin-top:.85pt;width:489pt;height:20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" fillcolor="#e8e8e8" stroked="f" strokecolor="#a8abae [1629]"/>
        </w:pict>
      </w:r>
    </w:p>
    <w:p w:rsidR="00A23C60" w:rsidRPr="001B7E64" w:rsidRDefault="00A23C60" w:rsidP="00A23C60">
      <w:pPr>
        <w:pStyle w:val="AHPRASubhead"/>
        <w:spacing w:before="200"/>
        <w:rPr>
          <w:lang w:eastAsia="en-AU"/>
        </w:rPr>
      </w:pPr>
      <w:r w:rsidRPr="001B7E64">
        <w:rPr>
          <w:lang w:eastAsia="en-AU"/>
        </w:rPr>
        <w:t>Questions for consideration</w:t>
      </w:r>
    </w:p>
    <w:p w:rsidR="00A23C60" w:rsidRPr="001B7E64" w:rsidRDefault="00A23C60" w:rsidP="00A23C60">
      <w:pPr>
        <w:pStyle w:val="AHPRASubhead"/>
        <w:spacing w:before="200"/>
        <w:rPr>
          <w:rFonts w:cs="Arial"/>
          <w:b w:val="0"/>
          <w:color w:val="auto"/>
          <w:szCs w:val="20"/>
        </w:rPr>
      </w:pPr>
      <w:r w:rsidRPr="001B7E64">
        <w:rPr>
          <w:rFonts w:cs="Arial"/>
          <w:b w:val="0"/>
          <w:color w:val="auto"/>
          <w:szCs w:val="20"/>
        </w:rPr>
        <w:t xml:space="preserve">The Board is inviting general comments </w:t>
      </w:r>
      <w:r>
        <w:rPr>
          <w:rFonts w:cs="Arial"/>
          <w:b w:val="0"/>
          <w:color w:val="auto"/>
          <w:szCs w:val="20"/>
        </w:rPr>
        <w:t>on the draft revised guideline</w:t>
      </w:r>
      <w:r w:rsidR="00DD00DC">
        <w:rPr>
          <w:rFonts w:cs="Arial"/>
          <w:b w:val="0"/>
          <w:color w:val="auto"/>
          <w:szCs w:val="20"/>
        </w:rPr>
        <w:t>s</w:t>
      </w:r>
      <w:r>
        <w:rPr>
          <w:rFonts w:cs="Arial"/>
          <w:b w:val="0"/>
          <w:color w:val="auto"/>
          <w:szCs w:val="20"/>
        </w:rPr>
        <w:t xml:space="preserve"> </w:t>
      </w:r>
      <w:r w:rsidRPr="001B7E64">
        <w:rPr>
          <w:rFonts w:cs="Arial"/>
          <w:b w:val="0"/>
          <w:color w:val="auto"/>
          <w:szCs w:val="20"/>
        </w:rPr>
        <w:t>as well as feedback on the following questions.</w:t>
      </w:r>
    </w:p>
    <w:p w:rsidR="00A23C60" w:rsidRDefault="00A23C60" w:rsidP="00A23C60">
      <w:pPr>
        <w:pStyle w:val="AHPRASubhead"/>
        <w:numPr>
          <w:ilvl w:val="0"/>
          <w:numId w:val="41"/>
        </w:numPr>
        <w:spacing w:before="200"/>
        <w:ind w:left="357" w:hanging="357"/>
        <w:rPr>
          <w:rFonts w:cs="Arial"/>
          <w:b w:val="0"/>
          <w:color w:val="auto"/>
          <w:szCs w:val="20"/>
        </w:rPr>
      </w:pPr>
      <w:r w:rsidRPr="001B7E64">
        <w:rPr>
          <w:rFonts w:cs="Arial"/>
          <w:b w:val="0"/>
          <w:color w:val="auto"/>
          <w:szCs w:val="20"/>
        </w:rPr>
        <w:t xml:space="preserve">From your perspective, how </w:t>
      </w:r>
      <w:r>
        <w:rPr>
          <w:rFonts w:cs="Arial"/>
          <w:b w:val="0"/>
          <w:color w:val="auto"/>
          <w:szCs w:val="20"/>
        </w:rPr>
        <w:t>are</w:t>
      </w:r>
      <w:r w:rsidRPr="001B7E64">
        <w:rPr>
          <w:rFonts w:cs="Arial"/>
          <w:b w:val="0"/>
          <w:color w:val="auto"/>
          <w:szCs w:val="20"/>
        </w:rPr>
        <w:t xml:space="preserve"> th</w:t>
      </w:r>
      <w:r>
        <w:rPr>
          <w:rFonts w:cs="Arial"/>
          <w:b w:val="0"/>
          <w:color w:val="auto"/>
          <w:szCs w:val="20"/>
        </w:rPr>
        <w:t>e current guidelines</w:t>
      </w:r>
      <w:r w:rsidRPr="001B7E64">
        <w:rPr>
          <w:rFonts w:cs="Arial"/>
          <w:b w:val="0"/>
          <w:color w:val="auto"/>
          <w:szCs w:val="20"/>
        </w:rPr>
        <w:t xml:space="preserve"> working</w:t>
      </w:r>
      <w:r>
        <w:rPr>
          <w:rFonts w:cs="Arial"/>
          <w:b w:val="0"/>
          <w:color w:val="auto"/>
          <w:szCs w:val="20"/>
        </w:rPr>
        <w:t>?</w:t>
      </w:r>
    </w:p>
    <w:p w:rsidR="00A23C60" w:rsidRDefault="00A23C60" w:rsidP="00A23C60">
      <w:pPr>
        <w:pStyle w:val="AHPRASubhead"/>
        <w:numPr>
          <w:ilvl w:val="0"/>
          <w:numId w:val="41"/>
        </w:numPr>
        <w:spacing w:before="200"/>
        <w:ind w:left="357" w:hanging="357"/>
        <w:rPr>
          <w:rFonts w:cs="Arial"/>
          <w:b w:val="0"/>
          <w:color w:val="auto"/>
          <w:szCs w:val="20"/>
        </w:rPr>
      </w:pPr>
      <w:r w:rsidRPr="001B7E64">
        <w:rPr>
          <w:rFonts w:cs="Arial"/>
          <w:b w:val="0"/>
          <w:color w:val="auto"/>
          <w:szCs w:val="20"/>
        </w:rPr>
        <w:t>Is the content and structure of the draft revis</w:t>
      </w:r>
      <w:r>
        <w:rPr>
          <w:rFonts w:cs="Arial"/>
          <w:b w:val="0"/>
          <w:color w:val="auto"/>
          <w:szCs w:val="20"/>
        </w:rPr>
        <w:t>ed guidelines</w:t>
      </w:r>
      <w:r w:rsidRPr="001B7E64">
        <w:rPr>
          <w:rFonts w:cs="Arial"/>
          <w:b w:val="0"/>
          <w:color w:val="auto"/>
          <w:szCs w:val="20"/>
        </w:rPr>
        <w:t xml:space="preserve"> helpful, clear, relevant and more wor</w:t>
      </w:r>
      <w:r>
        <w:rPr>
          <w:rFonts w:cs="Arial"/>
          <w:b w:val="0"/>
          <w:color w:val="auto"/>
          <w:szCs w:val="20"/>
        </w:rPr>
        <w:t>kable than the current guidelines</w:t>
      </w:r>
      <w:r w:rsidRPr="001B7E64">
        <w:rPr>
          <w:rFonts w:cs="Arial"/>
          <w:b w:val="0"/>
          <w:color w:val="auto"/>
          <w:szCs w:val="20"/>
        </w:rPr>
        <w:t>?</w:t>
      </w:r>
    </w:p>
    <w:p w:rsidR="00A23C60" w:rsidRDefault="00A23C60" w:rsidP="00A23C60">
      <w:pPr>
        <w:pStyle w:val="AHPRASubhead"/>
        <w:numPr>
          <w:ilvl w:val="0"/>
          <w:numId w:val="41"/>
        </w:numPr>
        <w:spacing w:before="200"/>
        <w:ind w:left="357" w:hanging="357"/>
        <w:rPr>
          <w:rFonts w:cs="Arial"/>
          <w:b w:val="0"/>
          <w:color w:val="auto"/>
          <w:szCs w:val="20"/>
        </w:rPr>
      </w:pPr>
      <w:r w:rsidRPr="001B7E64">
        <w:rPr>
          <w:rFonts w:cs="Arial"/>
          <w:b w:val="0"/>
          <w:color w:val="auto"/>
          <w:szCs w:val="20"/>
        </w:rPr>
        <w:t>Is there any content that needs to be changed or deleted in the draf</w:t>
      </w:r>
      <w:r>
        <w:rPr>
          <w:rFonts w:cs="Arial"/>
          <w:b w:val="0"/>
          <w:color w:val="auto"/>
          <w:szCs w:val="20"/>
        </w:rPr>
        <w:t>t revised guidelines</w:t>
      </w:r>
      <w:r w:rsidRPr="001B7E64">
        <w:rPr>
          <w:rFonts w:cs="Arial"/>
          <w:b w:val="0"/>
          <w:color w:val="auto"/>
          <w:szCs w:val="20"/>
        </w:rPr>
        <w:t>?</w:t>
      </w:r>
    </w:p>
    <w:p w:rsidR="00A23C60" w:rsidRDefault="00A23C60" w:rsidP="00A23C60">
      <w:pPr>
        <w:pStyle w:val="AHPRASubhead"/>
        <w:numPr>
          <w:ilvl w:val="0"/>
          <w:numId w:val="41"/>
        </w:numPr>
        <w:spacing w:before="200"/>
        <w:ind w:left="357" w:hanging="357"/>
        <w:rPr>
          <w:rFonts w:cs="Arial"/>
          <w:b w:val="0"/>
          <w:color w:val="auto"/>
          <w:szCs w:val="20"/>
        </w:rPr>
      </w:pPr>
      <w:r w:rsidRPr="001B7E64">
        <w:rPr>
          <w:rFonts w:cs="Arial"/>
          <w:b w:val="0"/>
          <w:color w:val="auto"/>
          <w:szCs w:val="20"/>
        </w:rPr>
        <w:t>Is there anything missing that needs to be added to the draf</w:t>
      </w:r>
      <w:r>
        <w:rPr>
          <w:rFonts w:cs="Arial"/>
          <w:b w:val="0"/>
          <w:color w:val="auto"/>
          <w:szCs w:val="20"/>
        </w:rPr>
        <w:t>t revised guidelines</w:t>
      </w:r>
      <w:r w:rsidRPr="001B7E64">
        <w:rPr>
          <w:rFonts w:cs="Arial"/>
          <w:b w:val="0"/>
          <w:color w:val="auto"/>
          <w:szCs w:val="20"/>
        </w:rPr>
        <w:t>?</w:t>
      </w:r>
    </w:p>
    <w:p w:rsidR="00A23C60" w:rsidRPr="004F6245" w:rsidRDefault="00A23C60" w:rsidP="00A23C60">
      <w:pPr>
        <w:pStyle w:val="AHPRASubhead"/>
        <w:numPr>
          <w:ilvl w:val="0"/>
          <w:numId w:val="41"/>
        </w:numPr>
        <w:spacing w:before="200"/>
        <w:ind w:left="357" w:hanging="357"/>
        <w:rPr>
          <w:rFonts w:cs="Arial"/>
          <w:b w:val="0"/>
          <w:color w:val="auto"/>
          <w:szCs w:val="20"/>
        </w:rPr>
      </w:pPr>
      <w:r w:rsidRPr="001B7E64">
        <w:rPr>
          <w:rFonts w:cs="Arial"/>
          <w:b w:val="0"/>
          <w:color w:val="auto"/>
          <w:szCs w:val="20"/>
        </w:rPr>
        <w:t>Do you have any other comments on the draf</w:t>
      </w:r>
      <w:r>
        <w:rPr>
          <w:rFonts w:cs="Arial"/>
          <w:b w:val="0"/>
          <w:color w:val="auto"/>
          <w:szCs w:val="20"/>
        </w:rPr>
        <w:t>t revised guidelines</w:t>
      </w:r>
      <w:r w:rsidRPr="001B7E64">
        <w:rPr>
          <w:rFonts w:cs="Arial"/>
          <w:b w:val="0"/>
          <w:color w:val="auto"/>
          <w:szCs w:val="20"/>
        </w:rPr>
        <w:t>?</w:t>
      </w:r>
    </w:p>
    <w:p w:rsidR="00A23C60" w:rsidRDefault="00A23C60" w:rsidP="00A23C60">
      <w:pPr>
        <w:pStyle w:val="Default"/>
        <w:spacing w:before="200" w:after="200"/>
        <w:rPr>
          <w:b/>
          <w:bCs/>
          <w:color w:val="008EC4"/>
          <w:sz w:val="20"/>
          <w:szCs w:val="20"/>
        </w:rPr>
      </w:pPr>
    </w:p>
    <w:p w:rsidR="00A23C60" w:rsidRDefault="00A23C60" w:rsidP="00A23C60">
      <w:pPr>
        <w:pStyle w:val="Default"/>
        <w:spacing w:before="200" w:after="200"/>
        <w:rPr>
          <w:b/>
          <w:bCs/>
          <w:color w:val="008EC4"/>
          <w:sz w:val="20"/>
          <w:szCs w:val="20"/>
        </w:rPr>
      </w:pPr>
      <w:r>
        <w:rPr>
          <w:b/>
          <w:bCs/>
          <w:color w:val="008EC4"/>
          <w:sz w:val="20"/>
          <w:szCs w:val="20"/>
        </w:rPr>
        <w:t xml:space="preserve">Attachments </w:t>
      </w:r>
    </w:p>
    <w:p w:rsidR="00A23C60" w:rsidRPr="00A272A6" w:rsidRDefault="00A23C60" w:rsidP="00A23C60">
      <w:pPr>
        <w:pStyle w:val="ListParagraph"/>
        <w:numPr>
          <w:ilvl w:val="0"/>
          <w:numId w:val="42"/>
        </w:numPr>
        <w:spacing w:before="200" w:after="200" w:line="240" w:lineRule="auto"/>
        <w:contextualSpacing w:val="0"/>
        <w:rPr>
          <w:rFonts w:cs="Arial"/>
          <w:bCs/>
          <w:sz w:val="20"/>
          <w:szCs w:val="20"/>
        </w:rPr>
      </w:pPr>
      <w:r w:rsidRPr="00A272A6">
        <w:rPr>
          <w:rFonts w:cs="Arial"/>
          <w:sz w:val="20"/>
          <w:szCs w:val="20"/>
        </w:rPr>
        <w:t xml:space="preserve">Draft revised </w:t>
      </w:r>
      <w:r>
        <w:rPr>
          <w:rFonts w:cs="Arial"/>
          <w:i/>
          <w:iCs/>
          <w:sz w:val="20"/>
          <w:szCs w:val="20"/>
        </w:rPr>
        <w:t>Guidelines: Sexual boundaries in the doctor-patient relationship</w:t>
      </w:r>
    </w:p>
    <w:p w:rsidR="00A23C60" w:rsidRPr="00F46C6C" w:rsidRDefault="00A23C60" w:rsidP="00A23C60">
      <w:pPr>
        <w:pStyle w:val="ListParagraph"/>
        <w:numPr>
          <w:ilvl w:val="0"/>
          <w:numId w:val="42"/>
        </w:numPr>
        <w:spacing w:before="200" w:after="200" w:line="240" w:lineRule="auto"/>
        <w:contextualSpacing w:val="0"/>
        <w:rPr>
          <w:rFonts w:cs="Arial"/>
          <w:bCs/>
          <w:sz w:val="20"/>
          <w:szCs w:val="20"/>
        </w:rPr>
      </w:pPr>
      <w:r>
        <w:rPr>
          <w:rFonts w:cs="Arial"/>
          <w:bCs/>
          <w:sz w:val="20"/>
          <w:szCs w:val="20"/>
        </w:rPr>
        <w:t xml:space="preserve">The Board’s statement of assessment against </w:t>
      </w:r>
      <w:r w:rsidRPr="00F46C6C">
        <w:rPr>
          <w:rFonts w:cs="Arial"/>
          <w:bCs/>
          <w:sz w:val="20"/>
          <w:szCs w:val="20"/>
        </w:rPr>
        <w:t xml:space="preserve">AHPRA’s Procedures for the development of registration standards, codes and guidelines and </w:t>
      </w:r>
      <w:r>
        <w:rPr>
          <w:rFonts w:cs="Arial"/>
          <w:bCs/>
          <w:sz w:val="20"/>
          <w:szCs w:val="20"/>
        </w:rPr>
        <w:t>Council of Australian Governments (COAG)</w:t>
      </w:r>
      <w:r w:rsidRPr="00F46C6C">
        <w:rPr>
          <w:rFonts w:cs="Arial"/>
          <w:bCs/>
          <w:sz w:val="20"/>
          <w:szCs w:val="20"/>
        </w:rPr>
        <w:t xml:space="preserve"> principles for best practice regulation</w:t>
      </w:r>
      <w:r>
        <w:rPr>
          <w:rFonts w:cs="Arial"/>
          <w:bCs/>
          <w:sz w:val="20"/>
          <w:szCs w:val="20"/>
        </w:rPr>
        <w:t>.</w:t>
      </w:r>
    </w:p>
    <w:p w:rsidR="00A23C60" w:rsidRPr="00201FFF" w:rsidRDefault="00A23C60" w:rsidP="00A23C60">
      <w:pPr>
        <w:pStyle w:val="AHPRATitle"/>
        <w:spacing w:before="200"/>
        <w:rPr>
          <w:color w:val="auto"/>
          <w:sz w:val="20"/>
          <w:szCs w:val="20"/>
        </w:rPr>
      </w:pPr>
      <w:r w:rsidRPr="00C2396E">
        <w:rPr>
          <w:bCs/>
          <w:color w:val="auto"/>
          <w:sz w:val="20"/>
          <w:szCs w:val="20"/>
        </w:rPr>
        <w:t>T</w:t>
      </w:r>
      <w:r w:rsidRPr="00A23C60">
        <w:rPr>
          <w:bCs/>
          <w:color w:val="3E4043" w:themeColor="text1" w:themeShade="BF"/>
          <w:sz w:val="20"/>
          <w:szCs w:val="20"/>
        </w:rPr>
        <w:t>he current guidelines ‘</w:t>
      </w:r>
      <w:r w:rsidRPr="00A23C60">
        <w:rPr>
          <w:bCs/>
          <w:i/>
          <w:color w:val="3E4043" w:themeColor="text1" w:themeShade="BF"/>
          <w:sz w:val="20"/>
          <w:szCs w:val="20"/>
        </w:rPr>
        <w:t>Sexual Boundaries: Guidelines for doctors’</w:t>
      </w:r>
      <w:r w:rsidRPr="00A23C60">
        <w:rPr>
          <w:bCs/>
          <w:color w:val="3E4043" w:themeColor="text1" w:themeShade="BF"/>
          <w:sz w:val="20"/>
          <w:szCs w:val="20"/>
        </w:rPr>
        <w:t xml:space="preserve"> is published on the Board‘s website, accessible from </w:t>
      </w:r>
      <w:hyperlink r:id="rId16" w:history="1">
        <w:r w:rsidR="007F7F6B" w:rsidRPr="00E115B6">
          <w:rPr>
            <w:rStyle w:val="Hyperlink"/>
            <w:bCs/>
            <w:sz w:val="20"/>
            <w:szCs w:val="20"/>
          </w:rPr>
          <w:t>www.medicalboard.gov.au/Codes-Guidelines-Policies.aspx</w:t>
        </w:r>
      </w:hyperlink>
      <w:r w:rsidR="007F7F6B">
        <w:rPr>
          <w:bCs/>
          <w:color w:val="3E4043" w:themeColor="text1" w:themeShade="BF"/>
          <w:sz w:val="20"/>
          <w:szCs w:val="20"/>
        </w:rPr>
        <w:t>.</w:t>
      </w:r>
    </w:p>
    <w:p w:rsidR="00A23C60" w:rsidRDefault="00A23C60" w:rsidP="00A23C60">
      <w:pPr>
        <w:spacing w:before="200"/>
        <w:rPr>
          <w:rStyle w:val="Hyperlink"/>
          <w:rFonts w:ascii="Arial" w:hAnsi="Arial" w:cs="Arial"/>
          <w:sz w:val="20"/>
          <w:szCs w:val="20"/>
        </w:rPr>
      </w:pPr>
    </w:p>
    <w:p w:rsidR="00A23C60" w:rsidRDefault="00A23C60" w:rsidP="006C0F69">
      <w:pPr>
        <w:pStyle w:val="AHPRADocumenttitle"/>
        <w:sectPr w:rsidR="00A23C60" w:rsidSect="00A23C60">
          <w:type w:val="continuous"/>
          <w:pgSz w:w="11900" w:h="16840" w:code="9"/>
          <w:pgMar w:top="1440" w:right="1440" w:bottom="1440" w:left="1440" w:header="284" w:footer="240" w:gutter="0"/>
          <w:cols w:space="708"/>
          <w:titlePg/>
          <w:docGrid w:linePitch="326"/>
        </w:sectPr>
      </w:pPr>
    </w:p>
    <w:p w:rsidR="00A23C60" w:rsidRDefault="00A23C60" w:rsidP="006C0F69">
      <w:pPr>
        <w:pStyle w:val="AHPRADocumenttitle"/>
        <w:sectPr w:rsidR="00A23C60" w:rsidSect="00A23C60">
          <w:headerReference w:type="even" r:id="rId17"/>
          <w:headerReference w:type="default" r:id="rId18"/>
          <w:headerReference w:type="first" r:id="rId19"/>
          <w:footerReference w:type="first" r:id="rId20"/>
          <w:pgSz w:w="11900" w:h="16840" w:code="9"/>
          <w:pgMar w:top="1440" w:right="1080" w:bottom="1440" w:left="1080" w:header="284" w:footer="110" w:gutter="0"/>
          <w:pgNumType w:start="1"/>
          <w:cols w:num="2" w:space="708"/>
          <w:titlePg/>
          <w:docGrid w:linePitch="326"/>
        </w:sectPr>
      </w:pPr>
    </w:p>
    <w:p w:rsidR="0040306F" w:rsidRDefault="0040306F" w:rsidP="006C0F69">
      <w:pPr>
        <w:pStyle w:val="AHPRADocumenttitle"/>
      </w:pPr>
    </w:p>
    <w:p w:rsidR="00A23C60" w:rsidRDefault="00A23C60" w:rsidP="006C0F69">
      <w:pPr>
        <w:pStyle w:val="AHPRADocumenttitle"/>
      </w:pPr>
    </w:p>
    <w:p w:rsidR="00CB4590" w:rsidRDefault="00CB4590" w:rsidP="006C0F69">
      <w:pPr>
        <w:pStyle w:val="AHPRADocumenttitle"/>
        <w:rPr>
          <w:b/>
          <w:color w:val="0B70B3" w:themeColor="text2"/>
          <w:sz w:val="28"/>
        </w:rPr>
      </w:pPr>
    </w:p>
    <w:p w:rsidR="00CB4590" w:rsidRDefault="00CB4590" w:rsidP="006C0F69">
      <w:pPr>
        <w:pStyle w:val="AHPRADocumenttitle"/>
        <w:rPr>
          <w:b/>
          <w:color w:val="0B70B3" w:themeColor="text2"/>
          <w:sz w:val="28"/>
        </w:rPr>
        <w:sectPr w:rsidR="00CB4590" w:rsidSect="00A23C60">
          <w:type w:val="continuous"/>
          <w:pgSz w:w="11900" w:h="16840" w:code="9"/>
          <w:pgMar w:top="1440" w:right="1080" w:bottom="1440" w:left="1080" w:header="284" w:footer="110" w:gutter="0"/>
          <w:cols w:num="2" w:space="708"/>
          <w:titlePg/>
          <w:docGrid w:linePitch="326"/>
        </w:sectPr>
      </w:pPr>
    </w:p>
    <w:p w:rsidR="00CB4590" w:rsidRDefault="00CB4590" w:rsidP="006C0F69">
      <w:pPr>
        <w:pStyle w:val="AHPRADocumenttitle"/>
        <w:rPr>
          <w:b/>
          <w:color w:val="0B70B3" w:themeColor="text2"/>
          <w:sz w:val="28"/>
        </w:rPr>
      </w:pPr>
    </w:p>
    <w:p w:rsidR="00CB4590" w:rsidRDefault="00CB4590" w:rsidP="006C0F69">
      <w:pPr>
        <w:pStyle w:val="AHPRADocumenttitle"/>
        <w:rPr>
          <w:b/>
          <w:color w:val="0B70B3" w:themeColor="text2"/>
          <w:sz w:val="28"/>
        </w:rPr>
      </w:pPr>
    </w:p>
    <w:p w:rsidR="0040306F" w:rsidRPr="00A00466" w:rsidRDefault="0040306F" w:rsidP="005C04C4">
      <w:pPr>
        <w:pStyle w:val="AHPRASubhead"/>
        <w:rPr>
          <w:sz w:val="32"/>
        </w:rPr>
      </w:pPr>
      <w:r w:rsidRPr="00A00466">
        <w:rPr>
          <w:sz w:val="32"/>
        </w:rPr>
        <w:t xml:space="preserve">Medical Board of Australia </w:t>
      </w:r>
    </w:p>
    <w:p w:rsidR="0040306F" w:rsidRPr="00CB4590" w:rsidRDefault="00CB4590" w:rsidP="006C0F69">
      <w:pPr>
        <w:pStyle w:val="AHPRADocumenttitle"/>
        <w:rPr>
          <w:color w:val="54575A" w:themeColor="text1"/>
          <w:sz w:val="40"/>
        </w:rPr>
      </w:pPr>
      <w:r w:rsidRPr="00A23C60">
        <w:rPr>
          <w:color w:val="54575A" w:themeColor="text1"/>
          <w:sz w:val="40"/>
        </w:rPr>
        <w:t xml:space="preserve">Guidelines: </w:t>
      </w:r>
      <w:r>
        <w:rPr>
          <w:color w:val="54575A" w:themeColor="text1"/>
          <w:sz w:val="40"/>
        </w:rPr>
        <w:t>S</w:t>
      </w:r>
      <w:r w:rsidRPr="00CB4590">
        <w:rPr>
          <w:color w:val="54575A" w:themeColor="text1"/>
          <w:sz w:val="40"/>
        </w:rPr>
        <w:t>exual boundaries in the doctor-patient relationship</w:t>
      </w:r>
    </w:p>
    <w:p w:rsidR="0040306F" w:rsidRPr="00CB4590" w:rsidRDefault="0040306F" w:rsidP="006C0F69">
      <w:pPr>
        <w:pStyle w:val="AHPRAbodytext"/>
        <w:rPr>
          <w:color w:val="54575A" w:themeColor="text1"/>
        </w:rPr>
      </w:pPr>
      <w:r w:rsidRPr="00CB4590">
        <w:rPr>
          <w:color w:val="54575A" w:themeColor="text1"/>
        </w:rPr>
        <w:t>[Effective Date]</w:t>
      </w:r>
    </w:p>
    <w:p w:rsidR="00CB4590" w:rsidRPr="00CB4590" w:rsidRDefault="00CB4590" w:rsidP="006C0F69">
      <w:pPr>
        <w:pStyle w:val="AHPRASubheading"/>
        <w:rPr>
          <w:color w:val="54575A" w:themeColor="text1"/>
          <w:sz w:val="28"/>
        </w:rPr>
        <w:sectPr w:rsidR="00CB4590" w:rsidRPr="00CB4590" w:rsidSect="00A00466">
          <w:type w:val="continuous"/>
          <w:pgSz w:w="11900" w:h="16840" w:code="9"/>
          <w:pgMar w:top="1440" w:right="1080" w:bottom="1440" w:left="1080" w:header="284" w:footer="110" w:gutter="0"/>
          <w:cols w:space="708"/>
          <w:titlePg/>
          <w:docGrid w:linePitch="326"/>
        </w:sectPr>
      </w:pPr>
    </w:p>
    <w:p w:rsidR="0040306F" w:rsidRPr="00837CD3" w:rsidRDefault="0040306F" w:rsidP="006C0F69">
      <w:pPr>
        <w:pStyle w:val="Heading2"/>
        <w:spacing w:after="200" w:line="240" w:lineRule="auto"/>
        <w:rPr>
          <w:rFonts w:ascii="Arial" w:eastAsia="Cambria" w:hAnsi="Arial" w:cs="Times New Roman"/>
          <w:bCs w:val="0"/>
          <w:color w:val="54575A" w:themeColor="text1"/>
          <w:sz w:val="32"/>
          <w:szCs w:val="24"/>
        </w:rPr>
      </w:pPr>
      <w:r w:rsidRPr="00837CD3">
        <w:rPr>
          <w:rFonts w:ascii="Arial" w:eastAsia="Cambria" w:hAnsi="Arial" w:cs="Times New Roman"/>
          <w:bCs w:val="0"/>
          <w:color w:val="54575A" w:themeColor="text1"/>
          <w:sz w:val="32"/>
          <w:szCs w:val="24"/>
        </w:rPr>
        <w:t>Summary</w:t>
      </w:r>
    </w:p>
    <w:p w:rsidR="0040306F" w:rsidRPr="00A23C60" w:rsidRDefault="0040306F" w:rsidP="006C0F69">
      <w:pPr>
        <w:pStyle w:val="AHPRAbodytext"/>
        <w:rPr>
          <w:color w:val="3E4043" w:themeColor="text1" w:themeShade="BF"/>
        </w:rPr>
      </w:pPr>
      <w:r w:rsidRPr="00A23C60">
        <w:rPr>
          <w:color w:val="3E4043" w:themeColor="text1" w:themeShade="BF"/>
        </w:rPr>
        <w:t xml:space="preserve">Good medical practice involves </w:t>
      </w:r>
      <w:r w:rsidRPr="00A23C60">
        <w:rPr>
          <w:i/>
          <w:color w:val="3E4043" w:themeColor="text1" w:themeShade="BF"/>
        </w:rPr>
        <w:t>‘never using your professional relationship to establish or pursue a sexual, exploitative or other inappropriate relationship with anybody under your care. This includes those close to the patient such as their carer, guardian or spouse or the parent of a child patient’</w:t>
      </w:r>
      <w:r w:rsidRPr="00A23C60">
        <w:rPr>
          <w:color w:val="3E4043" w:themeColor="text1" w:themeShade="BF"/>
        </w:rPr>
        <w:t>.</w:t>
      </w:r>
      <w:r w:rsidRPr="00A23C60">
        <w:rPr>
          <w:rStyle w:val="FootnoteReference"/>
          <w:i/>
          <w:color w:val="3E4043" w:themeColor="text1" w:themeShade="BF"/>
        </w:rPr>
        <w:footnoteReference w:id="3"/>
      </w:r>
    </w:p>
    <w:p w:rsidR="0040306F" w:rsidRPr="00A23C60" w:rsidRDefault="0040306F" w:rsidP="006C0F69">
      <w:pPr>
        <w:pStyle w:val="AHPRAbodytext"/>
        <w:rPr>
          <w:color w:val="3E4043" w:themeColor="text1" w:themeShade="BF"/>
        </w:rPr>
      </w:pPr>
      <w:r w:rsidRPr="00A23C60">
        <w:rPr>
          <w:color w:val="3E4043" w:themeColor="text1" w:themeShade="BF"/>
        </w:rPr>
        <w:t>Sexual misconduct is an abuse of the doctor-patient relationship.</w:t>
      </w:r>
      <w:r w:rsidRPr="00A23C60">
        <w:rPr>
          <w:rStyle w:val="FootnoteReference"/>
          <w:color w:val="3E4043" w:themeColor="text1" w:themeShade="BF"/>
        </w:rPr>
        <w:footnoteReference w:id="4"/>
      </w:r>
      <w:r w:rsidRPr="00A23C60">
        <w:rPr>
          <w:color w:val="3E4043" w:themeColor="text1" w:themeShade="BF"/>
        </w:rPr>
        <w:t xml:space="preserve"> It undermines the trust and confidence of patients in their doctors and of the community in the medical profession. It can cause significant and lasting harm to patients.</w:t>
      </w:r>
    </w:p>
    <w:p w:rsidR="0040306F" w:rsidRPr="00A23C60" w:rsidRDefault="0040306F" w:rsidP="006C0F69">
      <w:pPr>
        <w:pStyle w:val="AHPRAbodytext"/>
        <w:rPr>
          <w:color w:val="3E4043" w:themeColor="text1" w:themeShade="BF"/>
        </w:rPr>
      </w:pPr>
      <w:r w:rsidRPr="00A23C60">
        <w:rPr>
          <w:color w:val="3E4043" w:themeColor="text1" w:themeShade="BF"/>
        </w:rPr>
        <w:t xml:space="preserve">These guidelines aim to provide guidance to doctors about establishing and maintaining sexual boundaries in the doctor-patient relationship. These guidelines complement </w:t>
      </w:r>
      <w:r w:rsidRPr="00A23C60">
        <w:rPr>
          <w:i/>
          <w:color w:val="3E4043" w:themeColor="text1" w:themeShade="BF"/>
        </w:rPr>
        <w:t>‘Good medical practice: A code of conduct for doctors in Australia’ (Good medical practice)</w:t>
      </w:r>
      <w:r w:rsidRPr="00A23C60">
        <w:rPr>
          <w:color w:val="3E4043" w:themeColor="text1" w:themeShade="BF"/>
        </w:rPr>
        <w:t xml:space="preserve">. </w:t>
      </w:r>
      <w:r w:rsidRPr="00A23C60">
        <w:rPr>
          <w:i/>
          <w:color w:val="3E4043" w:themeColor="text1" w:themeShade="BF"/>
        </w:rPr>
        <w:t>Good medical practice</w:t>
      </w:r>
      <w:r w:rsidRPr="00A23C60">
        <w:rPr>
          <w:color w:val="3E4043" w:themeColor="text1" w:themeShade="BF"/>
        </w:rPr>
        <w:t xml:space="preserve"> describes what the Board expects of all doctors who are registered to practise medicine in Australia. </w:t>
      </w:r>
    </w:p>
    <w:p w:rsidR="0040306F" w:rsidRPr="00A23C60" w:rsidRDefault="005974CD" w:rsidP="006C0F69">
      <w:pPr>
        <w:pStyle w:val="AHPRAbodytext"/>
        <w:spacing w:after="240"/>
        <w:rPr>
          <w:color w:val="3E4043" w:themeColor="text1" w:themeShade="BF"/>
        </w:rPr>
      </w:pPr>
      <w:r>
        <w:rPr>
          <w:noProof/>
          <w:lang w:eastAsia="en-AU"/>
        </w:rPr>
        <w:pict>
          <v:rect id="Rectangle 4" o:spid="_x0000_s1028" style="position:absolute;margin-left:244.75pt;margin-top:-286.3pt;width:258pt;height:25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fillcolor="white [3212]" strokecolor="#1c1a10 [334]" strokeweight="1pt"/>
        </w:pict>
      </w:r>
      <w:r w:rsidR="0040306F" w:rsidRPr="00A23C60">
        <w:rPr>
          <w:color w:val="3E4043" w:themeColor="text1" w:themeShade="BF"/>
        </w:rPr>
        <w:t xml:space="preserve">Doctors who breach these guidelines are placing their registration at risk and in some cases could also be committing a criminal offence. </w:t>
      </w:r>
      <w:r w:rsidR="00ED5F41">
        <w:rPr>
          <w:color w:val="3E4043" w:themeColor="text1" w:themeShade="BF"/>
        </w:rPr>
        <w:br w:type="column"/>
      </w:r>
    </w:p>
    <w:p w:rsidR="0040306F" w:rsidRPr="00A23C60" w:rsidRDefault="0040306F" w:rsidP="006C0F69">
      <w:pPr>
        <w:pStyle w:val="AHPRAbodytext"/>
        <w:numPr>
          <w:ilvl w:val="0"/>
          <w:numId w:val="14"/>
        </w:numPr>
        <w:rPr>
          <w:color w:val="3E4043" w:themeColor="text1" w:themeShade="BF"/>
        </w:rPr>
      </w:pPr>
      <w:r w:rsidRPr="00A23C60">
        <w:rPr>
          <w:color w:val="3E4043" w:themeColor="text1" w:themeShade="BF"/>
        </w:rPr>
        <w:t>Sexual misconduct is an abuse of the doctor-patient relationship and can cause significant and lasting harm to patients.</w:t>
      </w:r>
    </w:p>
    <w:p w:rsidR="0040306F" w:rsidRPr="00A23C60" w:rsidRDefault="0040306F" w:rsidP="006C0F69">
      <w:pPr>
        <w:pStyle w:val="AHPRAbodytext"/>
        <w:numPr>
          <w:ilvl w:val="0"/>
          <w:numId w:val="14"/>
        </w:numPr>
        <w:rPr>
          <w:color w:val="3E4043" w:themeColor="text1" w:themeShade="BF"/>
        </w:rPr>
      </w:pPr>
      <w:r w:rsidRPr="00A23C60">
        <w:rPr>
          <w:color w:val="3E4043" w:themeColor="text1" w:themeShade="BF"/>
        </w:rPr>
        <w:t>It is never appropriate for a doctor to engage in a sexual relationship with a patient.</w:t>
      </w:r>
    </w:p>
    <w:p w:rsidR="0040306F" w:rsidRPr="00A23C60" w:rsidRDefault="0040306F" w:rsidP="006C0F69">
      <w:pPr>
        <w:pStyle w:val="AHPRAbodytext"/>
        <w:numPr>
          <w:ilvl w:val="0"/>
          <w:numId w:val="14"/>
        </w:numPr>
        <w:rPr>
          <w:color w:val="3E4043" w:themeColor="text1" w:themeShade="BF"/>
        </w:rPr>
      </w:pPr>
      <w:r w:rsidRPr="00A23C60">
        <w:rPr>
          <w:color w:val="3E4043" w:themeColor="text1" w:themeShade="BF"/>
        </w:rPr>
        <w:t>A doctor must only conduct a physical examination of a patient when it is clinically indicated and with the patient’s informed consent.</w:t>
      </w:r>
    </w:p>
    <w:p w:rsidR="0040306F" w:rsidRPr="00A23C60" w:rsidRDefault="0040306F" w:rsidP="006C0F69">
      <w:pPr>
        <w:pStyle w:val="AHPRAbodytext"/>
        <w:numPr>
          <w:ilvl w:val="0"/>
          <w:numId w:val="14"/>
        </w:numPr>
        <w:rPr>
          <w:color w:val="3E4043" w:themeColor="text1" w:themeShade="BF"/>
        </w:rPr>
      </w:pPr>
      <w:r w:rsidRPr="00A23C60">
        <w:rPr>
          <w:color w:val="3E4043" w:themeColor="text1" w:themeShade="BF"/>
        </w:rPr>
        <w:t>Good, clear communication is the most effective way to avoid misunderstandings in the doctor-patient relationship.</w:t>
      </w:r>
    </w:p>
    <w:p w:rsidR="0040306F" w:rsidRPr="00A23C60" w:rsidRDefault="0040306F" w:rsidP="006C0F69">
      <w:pPr>
        <w:pStyle w:val="AHPRAbodytext"/>
        <w:numPr>
          <w:ilvl w:val="0"/>
          <w:numId w:val="14"/>
        </w:numPr>
        <w:rPr>
          <w:color w:val="3E4043" w:themeColor="text1" w:themeShade="BF"/>
        </w:rPr>
      </w:pPr>
      <w:r w:rsidRPr="00A23C60">
        <w:rPr>
          <w:color w:val="3E4043" w:themeColor="text1" w:themeShade="BF"/>
        </w:rPr>
        <w:t>Doctors are responsible for maintaining professional boundaries in the doctor-patient relationship.</w:t>
      </w:r>
    </w:p>
    <w:p w:rsidR="00ED5F41" w:rsidRDefault="00ED5F41">
      <w:pPr>
        <w:rPr>
          <w:rFonts w:ascii="Arial" w:eastAsia="Cambria" w:hAnsi="Arial" w:cs="Times New Roman"/>
          <w:b/>
          <w:color w:val="008EC4"/>
          <w:sz w:val="20"/>
          <w:szCs w:val="24"/>
        </w:rPr>
      </w:pPr>
      <w:r>
        <w:br w:type="page"/>
      </w:r>
    </w:p>
    <w:p w:rsidR="00CB4590" w:rsidRPr="00837CD3" w:rsidRDefault="006C0F69" w:rsidP="006C0F69">
      <w:pPr>
        <w:pStyle w:val="Heading2"/>
        <w:spacing w:after="200" w:line="240" w:lineRule="auto"/>
        <w:rPr>
          <w:rFonts w:ascii="Arial" w:eastAsia="Cambria" w:hAnsi="Arial" w:cs="Times New Roman"/>
          <w:bCs w:val="0"/>
          <w:color w:val="54575A" w:themeColor="text1"/>
          <w:sz w:val="32"/>
          <w:szCs w:val="24"/>
        </w:rPr>
      </w:pPr>
      <w:r w:rsidRPr="00837CD3">
        <w:rPr>
          <w:rFonts w:ascii="Arial" w:eastAsia="Cambria" w:hAnsi="Arial" w:cs="Times New Roman"/>
          <w:bCs w:val="0"/>
          <w:color w:val="54575A" w:themeColor="text1"/>
          <w:sz w:val="32"/>
          <w:szCs w:val="24"/>
        </w:rPr>
        <w:lastRenderedPageBreak/>
        <w:t xml:space="preserve">Sexual boundaries </w:t>
      </w:r>
      <w:r w:rsidR="00A11E78" w:rsidRPr="00837CD3">
        <w:rPr>
          <w:rFonts w:ascii="Arial" w:eastAsia="Cambria" w:hAnsi="Arial" w:cs="Times New Roman"/>
          <w:bCs w:val="0"/>
          <w:color w:val="54575A" w:themeColor="text1"/>
          <w:sz w:val="32"/>
          <w:szCs w:val="24"/>
        </w:rPr>
        <w:t>in the doctor-patient relationship</w:t>
      </w:r>
    </w:p>
    <w:p w:rsidR="0040306F" w:rsidRPr="00A11E78" w:rsidRDefault="0040306F" w:rsidP="00A11E78">
      <w:pPr>
        <w:pStyle w:val="AHPRASubheading"/>
        <w:numPr>
          <w:ilvl w:val="0"/>
          <w:numId w:val="16"/>
        </w:numPr>
        <w:rPr>
          <w:sz w:val="24"/>
          <w:lang w:val="en-US"/>
        </w:rPr>
      </w:pPr>
      <w:r w:rsidRPr="00A11E78">
        <w:rPr>
          <w:sz w:val="24"/>
          <w:lang w:val="en-US"/>
        </w:rPr>
        <w:t>The foundation of the doctor-patient relationship</w:t>
      </w:r>
    </w:p>
    <w:p w:rsidR="0040306F" w:rsidRPr="00B93F89" w:rsidRDefault="0040306F" w:rsidP="00B93F89">
      <w:pPr>
        <w:pStyle w:val="AHPRAbodytext"/>
        <w:numPr>
          <w:ilvl w:val="1"/>
          <w:numId w:val="16"/>
        </w:numPr>
        <w:rPr>
          <w:b/>
          <w:color w:val="54575A" w:themeColor="text1"/>
        </w:rPr>
      </w:pPr>
      <w:r w:rsidRPr="00B93F89">
        <w:rPr>
          <w:b/>
          <w:color w:val="54575A" w:themeColor="text1"/>
        </w:rPr>
        <w:t>Trust</w:t>
      </w:r>
      <w:r w:rsidR="005C04C4" w:rsidRPr="00B93F89">
        <w:rPr>
          <w:b/>
          <w:color w:val="54575A" w:themeColor="text1"/>
        </w:rPr>
        <w:t xml:space="preserve"> </w:t>
      </w:r>
    </w:p>
    <w:p w:rsidR="0040306F" w:rsidRPr="006C0F69" w:rsidRDefault="0040306F" w:rsidP="00B93F89">
      <w:pPr>
        <w:pStyle w:val="AHPRAbodytext"/>
        <w:ind w:left="284"/>
        <w:rPr>
          <w:color w:val="54575A" w:themeColor="text1"/>
        </w:rPr>
      </w:pPr>
      <w:r w:rsidRPr="006C0F69">
        <w:rPr>
          <w:color w:val="54575A" w:themeColor="text1"/>
        </w:rPr>
        <w:t>Trust in the relationship between doctors and patients is a cornerstone of good medical practice. Sexual misconduct is a flagrant abuse of that trust. Patients have a right to feel safe when they are consulting a doctor.</w:t>
      </w:r>
    </w:p>
    <w:p w:rsidR="0040306F" w:rsidRPr="006C0F69" w:rsidRDefault="0040306F" w:rsidP="00B93F89">
      <w:pPr>
        <w:pStyle w:val="AHPRAbodytext"/>
        <w:ind w:left="284"/>
        <w:rPr>
          <w:color w:val="54575A" w:themeColor="text1"/>
        </w:rPr>
      </w:pPr>
      <w:r w:rsidRPr="006C0F69">
        <w:rPr>
          <w:color w:val="54575A" w:themeColor="text1"/>
        </w:rPr>
        <w:t>Patients need to trust that their doctor will act in their best interests, treat them professionally, not breach their privacy and never take advantage of them. Exploitation of the doctor-patient relationship undermines the trust that patients have in their doctors and the community has in the profession. It can cause profound psychological harm to patients and compromise their medical care.</w:t>
      </w:r>
    </w:p>
    <w:p w:rsidR="0040306F" w:rsidRPr="00BE1674" w:rsidRDefault="0040306F" w:rsidP="00B93F89">
      <w:pPr>
        <w:pStyle w:val="AHPRAbodytext"/>
        <w:numPr>
          <w:ilvl w:val="1"/>
          <w:numId w:val="16"/>
        </w:numPr>
        <w:rPr>
          <w:b/>
          <w:color w:val="54575A" w:themeColor="text1"/>
        </w:rPr>
      </w:pPr>
      <w:r w:rsidRPr="00BE1674">
        <w:rPr>
          <w:b/>
          <w:color w:val="54575A" w:themeColor="text1"/>
        </w:rPr>
        <w:t>Good communication</w:t>
      </w:r>
    </w:p>
    <w:p w:rsidR="0040306F" w:rsidRPr="006C0F69" w:rsidRDefault="0040306F" w:rsidP="00B93F89">
      <w:pPr>
        <w:pStyle w:val="AHPRAbodytext"/>
        <w:ind w:left="284"/>
        <w:rPr>
          <w:color w:val="54575A" w:themeColor="text1"/>
        </w:rPr>
      </w:pPr>
      <w:r w:rsidRPr="006C0F69">
        <w:rPr>
          <w:color w:val="54575A" w:themeColor="text1"/>
        </w:rPr>
        <w:t>Good, clear communication is the most effective way to avoid misunderstandings in the doctor-patient relationship. Good medical practice includes:</w:t>
      </w:r>
    </w:p>
    <w:p w:rsidR="0040306F" w:rsidRPr="006C0F69" w:rsidRDefault="0040306F" w:rsidP="008A5812">
      <w:pPr>
        <w:numPr>
          <w:ilvl w:val="0"/>
          <w:numId w:val="31"/>
        </w:numPr>
        <w:spacing w:before="200" w:after="200" w:line="240" w:lineRule="auto"/>
        <w:ind w:left="644"/>
        <w:rPr>
          <w:rFonts w:cs="Arial"/>
          <w:color w:val="54575A" w:themeColor="text1"/>
          <w:sz w:val="20"/>
          <w:szCs w:val="20"/>
        </w:rPr>
      </w:pPr>
      <w:r w:rsidRPr="006C0F69">
        <w:rPr>
          <w:rFonts w:cs="Arial"/>
          <w:color w:val="54575A" w:themeColor="text1"/>
          <w:sz w:val="20"/>
          <w:szCs w:val="20"/>
        </w:rPr>
        <w:t>listening to patients, asking for and respecting their views about their health, and responding to their concerns and preferences</w:t>
      </w:r>
    </w:p>
    <w:p w:rsidR="0040306F" w:rsidRPr="006C0F69" w:rsidRDefault="0040306F" w:rsidP="008A5812">
      <w:pPr>
        <w:numPr>
          <w:ilvl w:val="0"/>
          <w:numId w:val="31"/>
        </w:numPr>
        <w:spacing w:before="200" w:after="200" w:line="240" w:lineRule="auto"/>
        <w:ind w:left="644"/>
        <w:rPr>
          <w:rFonts w:cs="Arial"/>
          <w:color w:val="54575A" w:themeColor="text1"/>
          <w:sz w:val="20"/>
          <w:szCs w:val="20"/>
        </w:rPr>
      </w:pPr>
      <w:r w:rsidRPr="006C0F69">
        <w:rPr>
          <w:rFonts w:cs="Arial"/>
          <w:color w:val="54575A" w:themeColor="text1"/>
          <w:sz w:val="20"/>
          <w:szCs w:val="20"/>
        </w:rPr>
        <w:t>informing patients of the nature of, and need for, all aspects of their clinical management, including examination and investigations, and giving them adequate opportunity to question or refuse intervention and treatment</w:t>
      </w:r>
    </w:p>
    <w:p w:rsidR="0040306F" w:rsidRPr="006C0F69" w:rsidRDefault="0040306F" w:rsidP="008A5812">
      <w:pPr>
        <w:numPr>
          <w:ilvl w:val="0"/>
          <w:numId w:val="31"/>
        </w:numPr>
        <w:spacing w:before="200" w:after="200" w:line="240" w:lineRule="auto"/>
        <w:ind w:left="644"/>
        <w:rPr>
          <w:rFonts w:cs="Arial"/>
          <w:color w:val="54575A" w:themeColor="text1"/>
          <w:sz w:val="20"/>
          <w:szCs w:val="20"/>
        </w:rPr>
      </w:pPr>
      <w:r w:rsidRPr="006C0F69">
        <w:rPr>
          <w:rFonts w:cs="Arial"/>
          <w:color w:val="54575A" w:themeColor="text1"/>
          <w:sz w:val="20"/>
          <w:szCs w:val="20"/>
        </w:rPr>
        <w:t>trying to confirm that your patient understands what you have said</w:t>
      </w:r>
    </w:p>
    <w:p w:rsidR="0040306F" w:rsidRDefault="0040306F" w:rsidP="008A5812">
      <w:pPr>
        <w:numPr>
          <w:ilvl w:val="0"/>
          <w:numId w:val="31"/>
        </w:numPr>
        <w:spacing w:before="200" w:after="200" w:line="240" w:lineRule="auto"/>
        <w:ind w:left="644"/>
        <w:contextualSpacing/>
        <w:rPr>
          <w:rFonts w:cs="Arial"/>
          <w:color w:val="54575A" w:themeColor="text1"/>
          <w:sz w:val="20"/>
          <w:szCs w:val="20"/>
        </w:rPr>
      </w:pPr>
      <w:r w:rsidRPr="006C0F69">
        <w:rPr>
          <w:rFonts w:cs="Arial"/>
          <w:color w:val="54575A" w:themeColor="text1"/>
          <w:sz w:val="20"/>
          <w:szCs w:val="20"/>
        </w:rPr>
        <w:t>responding to patients’ questions and keeping them informed about their clinical progress.</w:t>
      </w:r>
    </w:p>
    <w:p w:rsidR="00A11E78" w:rsidRPr="00A11E78" w:rsidRDefault="00A11E78" w:rsidP="006C0F69">
      <w:pPr>
        <w:pStyle w:val="AHPRASubheading"/>
        <w:numPr>
          <w:ilvl w:val="0"/>
          <w:numId w:val="16"/>
        </w:numPr>
        <w:rPr>
          <w:sz w:val="24"/>
          <w:lang w:val="en-US"/>
        </w:rPr>
      </w:pPr>
      <w:r w:rsidRPr="00A11E78">
        <w:rPr>
          <w:sz w:val="24"/>
          <w:lang w:val="en-US"/>
        </w:rPr>
        <w:t>Why breaching sexual boundaries is unethical and harmful</w:t>
      </w:r>
    </w:p>
    <w:p w:rsidR="0040306F" w:rsidRPr="00B93F89" w:rsidRDefault="0040306F" w:rsidP="00B93F89">
      <w:pPr>
        <w:spacing w:line="240" w:lineRule="auto"/>
        <w:ind w:left="360"/>
        <w:rPr>
          <w:color w:val="54575A" w:themeColor="text1"/>
        </w:rPr>
      </w:pPr>
      <w:r w:rsidRPr="00B93F89">
        <w:rPr>
          <w:rStyle w:val="A3"/>
          <w:rFonts w:ascii="Arial" w:hAnsi="Arial" w:cs="Arial"/>
          <w:color w:val="54575A" w:themeColor="text1"/>
          <w:sz w:val="20"/>
          <w:szCs w:val="20"/>
        </w:rPr>
        <w:t>Doctors are expected to act in their patient’s best interests and not use their position of power and trust to exploit patients physically or sexually. Breaching sexual boundaries is always unethical and usually harmful for many reasons including:</w:t>
      </w:r>
    </w:p>
    <w:p w:rsidR="0040306F" w:rsidRPr="008A5812" w:rsidRDefault="0040306F" w:rsidP="00BF766D">
      <w:pPr>
        <w:pStyle w:val="AHPRAbodytext"/>
        <w:numPr>
          <w:ilvl w:val="2"/>
          <w:numId w:val="36"/>
        </w:numPr>
        <w:ind w:left="993" w:hanging="284"/>
        <w:rPr>
          <w:color w:val="54575A" w:themeColor="text1"/>
        </w:rPr>
      </w:pPr>
      <w:r w:rsidRPr="00750FC0">
        <w:rPr>
          <w:b/>
          <w:color w:val="54575A" w:themeColor="text1"/>
        </w:rPr>
        <w:t>Power imbalance</w:t>
      </w:r>
      <w:r w:rsidR="00750FC0" w:rsidRPr="00750FC0">
        <w:rPr>
          <w:b/>
          <w:color w:val="54575A" w:themeColor="text1"/>
        </w:rPr>
        <w:t xml:space="preserve">: </w:t>
      </w:r>
      <w:r w:rsidRPr="008A5812">
        <w:rPr>
          <w:color w:val="54575A" w:themeColor="text1"/>
        </w:rPr>
        <w:t>The doctor-patient relationship is inherently unequal. The patient is often vulnerable and in some clinical situations may depend emotionally on the doctor. To receive health care, patients are required to reveal information that they would not reveal to anyone else and may need to allow a doctor to conduct a physical examination. For a doctor to engage in sexualised behaviour with a patient exploits this power imbalance.</w:t>
      </w:r>
    </w:p>
    <w:p w:rsidR="0040306F" w:rsidRPr="008A5812" w:rsidRDefault="0040306F" w:rsidP="00BF766D">
      <w:pPr>
        <w:pStyle w:val="AHPRAbodytext"/>
        <w:numPr>
          <w:ilvl w:val="2"/>
          <w:numId w:val="36"/>
        </w:numPr>
        <w:ind w:left="993" w:hanging="284"/>
        <w:rPr>
          <w:color w:val="54575A" w:themeColor="text1"/>
        </w:rPr>
      </w:pPr>
      <w:r w:rsidRPr="00750FC0">
        <w:rPr>
          <w:b/>
          <w:color w:val="54575A" w:themeColor="text1"/>
        </w:rPr>
        <w:t>Trust</w:t>
      </w:r>
      <w:r w:rsidR="00750FC0">
        <w:rPr>
          <w:b/>
          <w:color w:val="54575A" w:themeColor="text1"/>
        </w:rPr>
        <w:t>:</w:t>
      </w:r>
      <w:r w:rsidR="008A5812">
        <w:rPr>
          <w:color w:val="54575A" w:themeColor="text1"/>
        </w:rPr>
        <w:t xml:space="preserve"> </w:t>
      </w:r>
      <w:r w:rsidRPr="008A5812">
        <w:rPr>
          <w:color w:val="54575A" w:themeColor="text1"/>
        </w:rPr>
        <w:t>Patients place trust in their doctor. They have a right to expect that examinations and treatment will only be undertaken in their best interests and never for an ulterior, sexual motive.</w:t>
      </w:r>
    </w:p>
    <w:p w:rsidR="0040306F" w:rsidRPr="008A5812" w:rsidRDefault="0040306F" w:rsidP="00BF766D">
      <w:pPr>
        <w:pStyle w:val="AHPRAbodytext"/>
        <w:numPr>
          <w:ilvl w:val="2"/>
          <w:numId w:val="36"/>
        </w:numPr>
        <w:ind w:left="993" w:hanging="284"/>
        <w:rPr>
          <w:color w:val="54575A" w:themeColor="text1"/>
        </w:rPr>
      </w:pPr>
      <w:r w:rsidRPr="00750FC0">
        <w:rPr>
          <w:b/>
          <w:color w:val="54575A" w:themeColor="text1"/>
        </w:rPr>
        <w:t>Safety</w:t>
      </w:r>
      <w:r w:rsidR="00750FC0" w:rsidRPr="00750FC0">
        <w:rPr>
          <w:b/>
          <w:color w:val="54575A" w:themeColor="text1"/>
        </w:rPr>
        <w:t>:</w:t>
      </w:r>
      <w:r w:rsidR="008A5812" w:rsidRPr="00750FC0">
        <w:rPr>
          <w:b/>
          <w:color w:val="54575A" w:themeColor="text1"/>
        </w:rPr>
        <w:t xml:space="preserve"> </w:t>
      </w:r>
      <w:r w:rsidRPr="008A5812">
        <w:rPr>
          <w:color w:val="54575A" w:themeColor="text1"/>
        </w:rPr>
        <w:t>Patients subjected to sexualised behaviour from their doctor may suffer emotional and physical harm.</w:t>
      </w:r>
    </w:p>
    <w:p w:rsidR="0040306F" w:rsidRPr="008A5812" w:rsidRDefault="0040306F" w:rsidP="00BF766D">
      <w:pPr>
        <w:pStyle w:val="AHPRAbodytext"/>
        <w:numPr>
          <w:ilvl w:val="2"/>
          <w:numId w:val="36"/>
        </w:numPr>
        <w:ind w:left="993" w:hanging="284"/>
        <w:rPr>
          <w:color w:val="54575A" w:themeColor="text1"/>
        </w:rPr>
      </w:pPr>
      <w:r w:rsidRPr="00750FC0">
        <w:rPr>
          <w:b/>
          <w:color w:val="54575A" w:themeColor="text1"/>
        </w:rPr>
        <w:t>Quality</w:t>
      </w:r>
      <w:r w:rsidR="00750FC0" w:rsidRPr="00750FC0">
        <w:rPr>
          <w:b/>
          <w:color w:val="54575A" w:themeColor="text1"/>
        </w:rPr>
        <w:t>:</w:t>
      </w:r>
      <w:r w:rsidR="008A5812">
        <w:rPr>
          <w:color w:val="54575A" w:themeColor="text1"/>
        </w:rPr>
        <w:t xml:space="preserve"> </w:t>
      </w:r>
      <w:r w:rsidRPr="008A5812">
        <w:rPr>
          <w:color w:val="54575A" w:themeColor="text1"/>
        </w:rPr>
        <w:t>A doctor who sexualises patients is likely to lose the independence and objectivity needed to provide them with good quality health care.</w:t>
      </w:r>
    </w:p>
    <w:p w:rsidR="0040306F" w:rsidRDefault="0040306F" w:rsidP="00BF766D">
      <w:pPr>
        <w:pStyle w:val="AHPRAbodytext"/>
        <w:numPr>
          <w:ilvl w:val="2"/>
          <w:numId w:val="36"/>
        </w:numPr>
        <w:ind w:left="993" w:hanging="284"/>
        <w:rPr>
          <w:color w:val="54575A" w:themeColor="text1"/>
        </w:rPr>
      </w:pPr>
      <w:r w:rsidRPr="00750FC0">
        <w:rPr>
          <w:b/>
          <w:color w:val="54575A" w:themeColor="text1"/>
        </w:rPr>
        <w:t>Public confidence</w:t>
      </w:r>
      <w:r w:rsidR="00750FC0">
        <w:rPr>
          <w:b/>
          <w:color w:val="54575A" w:themeColor="text1"/>
        </w:rPr>
        <w:t>:</w:t>
      </w:r>
      <w:r w:rsidR="008A5812">
        <w:rPr>
          <w:color w:val="54575A" w:themeColor="text1"/>
        </w:rPr>
        <w:t xml:space="preserve"> </w:t>
      </w:r>
      <w:r w:rsidRPr="006C0F69">
        <w:rPr>
          <w:color w:val="54575A" w:themeColor="text1"/>
        </w:rPr>
        <w:t>Members of the community should never be deterred from seeking medical care, permitting intimate examinations or sharing deeply personal information, because they fear potential abuse.</w:t>
      </w:r>
    </w:p>
    <w:p w:rsidR="0040306F" w:rsidRPr="00A11E78" w:rsidRDefault="0040306F" w:rsidP="006C0F69">
      <w:pPr>
        <w:pStyle w:val="AHPRASubheading"/>
        <w:numPr>
          <w:ilvl w:val="0"/>
          <w:numId w:val="16"/>
        </w:numPr>
        <w:rPr>
          <w:sz w:val="24"/>
          <w:lang w:val="en-US"/>
        </w:rPr>
      </w:pPr>
      <w:r w:rsidRPr="00A11E78">
        <w:rPr>
          <w:sz w:val="24"/>
          <w:lang w:val="en-US"/>
        </w:rPr>
        <w:t>Breaches of sexual boundaries (spectrum of behaviours)</w:t>
      </w:r>
    </w:p>
    <w:p w:rsidR="0040306F" w:rsidRPr="00B93F89" w:rsidRDefault="0040306F" w:rsidP="00B93F89">
      <w:pPr>
        <w:pStyle w:val="AHPRAbodytext"/>
        <w:tabs>
          <w:tab w:val="left" w:pos="284"/>
        </w:tabs>
        <w:ind w:left="284"/>
        <w:rPr>
          <w:color w:val="54575A" w:themeColor="text1"/>
        </w:rPr>
      </w:pPr>
      <w:r w:rsidRPr="006C0F69">
        <w:rPr>
          <w:color w:val="54575A" w:themeColor="text1"/>
        </w:rPr>
        <w:t>There is a wide range of behaviours that breach sexual boundaries, from making unnecessary comments about a patient’s body or clothing to criminal behaviour such as sexual assault. Unnecessary physical examinations or touching during a consultation and examinations without informed consent are criminal offences. AHPRA will advise and support notifiers</w:t>
      </w:r>
      <w:r w:rsidRPr="00837CD3">
        <w:rPr>
          <w:color w:val="54575A" w:themeColor="text1"/>
          <w:vertAlign w:val="superscript"/>
        </w:rPr>
        <w:footnoteReference w:id="5"/>
      </w:r>
      <w:r w:rsidRPr="00837CD3">
        <w:rPr>
          <w:color w:val="54575A" w:themeColor="text1"/>
          <w:vertAlign w:val="superscript"/>
        </w:rPr>
        <w:t xml:space="preserve"> </w:t>
      </w:r>
      <w:r w:rsidRPr="006C0F69">
        <w:rPr>
          <w:color w:val="54575A" w:themeColor="text1"/>
        </w:rPr>
        <w:t>to report criminal behaviour to the police.</w:t>
      </w:r>
      <w:r w:rsidRPr="00B93F89">
        <w:rPr>
          <w:color w:val="54575A" w:themeColor="text1"/>
        </w:rPr>
        <w:t xml:space="preserve"> </w:t>
      </w:r>
    </w:p>
    <w:p w:rsidR="0040306F" w:rsidRPr="006E2E83" w:rsidRDefault="0040306F" w:rsidP="00B93F89">
      <w:pPr>
        <w:pStyle w:val="AHPRAbodytext"/>
        <w:numPr>
          <w:ilvl w:val="1"/>
          <w:numId w:val="16"/>
        </w:numPr>
        <w:rPr>
          <w:b/>
          <w:color w:val="54575A" w:themeColor="text1"/>
        </w:rPr>
      </w:pPr>
      <w:r w:rsidRPr="006E2E83">
        <w:rPr>
          <w:b/>
          <w:color w:val="54575A" w:themeColor="text1"/>
        </w:rPr>
        <w:t>Spectrum of behaviours</w:t>
      </w:r>
    </w:p>
    <w:p w:rsidR="0040306F" w:rsidRPr="006C0F69" w:rsidRDefault="0040306F" w:rsidP="00B93F89">
      <w:pPr>
        <w:pStyle w:val="AHPRAbodytext"/>
        <w:ind w:left="284"/>
        <w:rPr>
          <w:color w:val="54575A" w:themeColor="text1"/>
        </w:rPr>
      </w:pPr>
      <w:r w:rsidRPr="006C0F69">
        <w:rPr>
          <w:color w:val="54575A" w:themeColor="text1"/>
        </w:rPr>
        <w:t>Breaches of sexual boundaries include:</w:t>
      </w:r>
    </w:p>
    <w:p w:rsidR="0040306F" w:rsidRPr="006C0F69" w:rsidRDefault="0040306F" w:rsidP="00B93F89">
      <w:pPr>
        <w:pStyle w:val="AHPRAbodytext"/>
        <w:numPr>
          <w:ilvl w:val="0"/>
          <w:numId w:val="25"/>
        </w:numPr>
        <w:ind w:left="567" w:hanging="283"/>
        <w:rPr>
          <w:color w:val="54575A" w:themeColor="text1"/>
        </w:rPr>
      </w:pPr>
      <w:r w:rsidRPr="006C0F69">
        <w:rPr>
          <w:color w:val="54575A" w:themeColor="text1"/>
        </w:rPr>
        <w:t>engaging or seeking to engage in a sexual relationship with a patient regardless of whether the doctor believes the patient consented to the sexual relationship</w:t>
      </w:r>
    </w:p>
    <w:p w:rsidR="0040306F" w:rsidRPr="006C0F69" w:rsidRDefault="0040306F" w:rsidP="00B93F89">
      <w:pPr>
        <w:pStyle w:val="AHPRAbodytext"/>
        <w:numPr>
          <w:ilvl w:val="0"/>
          <w:numId w:val="25"/>
        </w:numPr>
        <w:ind w:left="567" w:hanging="283"/>
        <w:rPr>
          <w:color w:val="54575A" w:themeColor="text1"/>
        </w:rPr>
      </w:pPr>
      <w:r w:rsidRPr="006C0F69">
        <w:rPr>
          <w:color w:val="54575A" w:themeColor="text1"/>
        </w:rPr>
        <w:lastRenderedPageBreak/>
        <w:t>conducting a physical examination which is not clinically indicated or when the patient has not consented to it. An unnecessary physical examination may constitute sexual assault or abuse.</w:t>
      </w:r>
    </w:p>
    <w:p w:rsidR="0040306F" w:rsidRPr="006C0F69" w:rsidRDefault="0040306F" w:rsidP="00B93F89">
      <w:pPr>
        <w:pStyle w:val="AHPRAbodytext"/>
        <w:numPr>
          <w:ilvl w:val="0"/>
          <w:numId w:val="25"/>
        </w:numPr>
        <w:ind w:left="567" w:hanging="283"/>
        <w:rPr>
          <w:color w:val="54575A" w:themeColor="text1"/>
        </w:rPr>
      </w:pPr>
      <w:r w:rsidRPr="006C0F69">
        <w:rPr>
          <w:color w:val="54575A" w:themeColor="text1"/>
        </w:rPr>
        <w:t>sexualised behaviours, meaning, any behaviour of a sexual nature that also includes:</w:t>
      </w:r>
    </w:p>
    <w:p w:rsidR="0040306F" w:rsidRPr="006C0F69" w:rsidRDefault="0040306F" w:rsidP="00B93F89">
      <w:pPr>
        <w:pStyle w:val="AHPRAbodytext"/>
        <w:numPr>
          <w:ilvl w:val="0"/>
          <w:numId w:val="37"/>
        </w:numPr>
        <w:tabs>
          <w:tab w:val="left" w:pos="1560"/>
        </w:tabs>
        <w:spacing w:after="80"/>
        <w:rPr>
          <w:color w:val="54575A" w:themeColor="text1"/>
        </w:rPr>
      </w:pPr>
      <w:r w:rsidRPr="006C0F69">
        <w:rPr>
          <w:color w:val="54575A" w:themeColor="text1"/>
        </w:rPr>
        <w:t>making sexual remarks</w:t>
      </w:r>
    </w:p>
    <w:p w:rsidR="0040306F" w:rsidRPr="006C0F69" w:rsidRDefault="0040306F" w:rsidP="00B93F89">
      <w:pPr>
        <w:pStyle w:val="AHPRAbodytext"/>
        <w:numPr>
          <w:ilvl w:val="0"/>
          <w:numId w:val="37"/>
        </w:numPr>
        <w:tabs>
          <w:tab w:val="left" w:pos="1560"/>
        </w:tabs>
        <w:spacing w:after="80"/>
        <w:rPr>
          <w:color w:val="54575A" w:themeColor="text1"/>
        </w:rPr>
      </w:pPr>
      <w:r w:rsidRPr="006C0F69">
        <w:rPr>
          <w:color w:val="54575A" w:themeColor="text1"/>
        </w:rPr>
        <w:t>flirtatious behaviour</w:t>
      </w:r>
    </w:p>
    <w:p w:rsidR="0040306F" w:rsidRPr="006C0F69" w:rsidRDefault="0040306F" w:rsidP="00B93F89">
      <w:pPr>
        <w:pStyle w:val="AHPRAbodytext"/>
        <w:numPr>
          <w:ilvl w:val="0"/>
          <w:numId w:val="37"/>
        </w:numPr>
        <w:tabs>
          <w:tab w:val="left" w:pos="1560"/>
        </w:tabs>
        <w:spacing w:after="80"/>
        <w:rPr>
          <w:color w:val="54575A" w:themeColor="text1"/>
        </w:rPr>
      </w:pPr>
      <w:r w:rsidRPr="006C0F69">
        <w:rPr>
          <w:color w:val="54575A" w:themeColor="text1"/>
        </w:rPr>
        <w:t>touching patients in a sexual way</w:t>
      </w:r>
    </w:p>
    <w:p w:rsidR="0040306F" w:rsidRPr="006C0F69" w:rsidRDefault="0040306F" w:rsidP="00B93F89">
      <w:pPr>
        <w:pStyle w:val="AHPRAbodytext"/>
        <w:numPr>
          <w:ilvl w:val="0"/>
          <w:numId w:val="37"/>
        </w:numPr>
        <w:tabs>
          <w:tab w:val="left" w:pos="1560"/>
        </w:tabs>
        <w:spacing w:after="80"/>
        <w:rPr>
          <w:color w:val="54575A" w:themeColor="text1"/>
        </w:rPr>
      </w:pPr>
      <w:r w:rsidRPr="006C0F69">
        <w:rPr>
          <w:color w:val="54575A" w:themeColor="text1"/>
        </w:rPr>
        <w:t>engaging in sexual behaviour in front of a patient</w:t>
      </w:r>
    </w:p>
    <w:p w:rsidR="0040306F" w:rsidRPr="006C0F69" w:rsidRDefault="0040306F" w:rsidP="00B93F89">
      <w:pPr>
        <w:pStyle w:val="AHPRAbodytext"/>
        <w:numPr>
          <w:ilvl w:val="0"/>
          <w:numId w:val="37"/>
        </w:numPr>
        <w:tabs>
          <w:tab w:val="left" w:pos="1560"/>
        </w:tabs>
        <w:rPr>
          <w:color w:val="54575A" w:themeColor="text1"/>
        </w:rPr>
      </w:pPr>
      <w:r w:rsidRPr="006C0F69">
        <w:rPr>
          <w:color w:val="54575A" w:themeColor="text1"/>
        </w:rPr>
        <w:t>using words or acting in a way that might reasonably be interpreted as being designed or intended to arouse or gratify sexual desire</w:t>
      </w:r>
    </w:p>
    <w:p w:rsidR="0040306F" w:rsidRPr="006C0F69" w:rsidRDefault="0040306F" w:rsidP="00B93F89">
      <w:pPr>
        <w:pStyle w:val="AHPRAbodytext"/>
        <w:numPr>
          <w:ilvl w:val="0"/>
          <w:numId w:val="25"/>
        </w:numPr>
        <w:ind w:left="567" w:hanging="283"/>
        <w:rPr>
          <w:color w:val="54575A" w:themeColor="text1"/>
        </w:rPr>
      </w:pPr>
      <w:r w:rsidRPr="006C0F69">
        <w:rPr>
          <w:color w:val="54575A" w:themeColor="text1"/>
        </w:rPr>
        <w:t>asking a patient about their sexual history or preferences, when these are not relevant to the patient’s clinical issue</w:t>
      </w:r>
    </w:p>
    <w:p w:rsidR="0040306F" w:rsidRPr="006C0F69" w:rsidRDefault="0040306F" w:rsidP="00B93F89">
      <w:pPr>
        <w:pStyle w:val="AHPRAbodytext"/>
        <w:numPr>
          <w:ilvl w:val="0"/>
          <w:numId w:val="25"/>
        </w:numPr>
        <w:ind w:left="567" w:hanging="283"/>
        <w:rPr>
          <w:color w:val="54575A" w:themeColor="text1"/>
        </w:rPr>
      </w:pPr>
      <w:r w:rsidRPr="006C0F69">
        <w:rPr>
          <w:color w:val="54575A" w:themeColor="text1"/>
        </w:rPr>
        <w:t>sexual exploitation or abuse</w:t>
      </w:r>
      <w:r w:rsidRPr="00837CD3">
        <w:rPr>
          <w:color w:val="54575A" w:themeColor="text1"/>
          <w:vertAlign w:val="superscript"/>
        </w:rPr>
        <w:footnoteReference w:id="6"/>
      </w:r>
    </w:p>
    <w:p w:rsidR="0040306F" w:rsidRPr="006C0F69" w:rsidRDefault="0040306F" w:rsidP="00B93F89">
      <w:pPr>
        <w:pStyle w:val="AHPRAbodytext"/>
        <w:numPr>
          <w:ilvl w:val="0"/>
          <w:numId w:val="25"/>
        </w:numPr>
        <w:ind w:left="567" w:hanging="283"/>
        <w:rPr>
          <w:color w:val="54575A" w:themeColor="text1"/>
        </w:rPr>
      </w:pPr>
      <w:r w:rsidRPr="006C0F69">
        <w:rPr>
          <w:color w:val="54575A" w:themeColor="text1"/>
        </w:rPr>
        <w:t>sexual harassment</w:t>
      </w:r>
      <w:r w:rsidRPr="00837CD3">
        <w:rPr>
          <w:vertAlign w:val="superscript"/>
        </w:rPr>
        <w:footnoteReference w:id="7"/>
      </w:r>
    </w:p>
    <w:p w:rsidR="0040306F" w:rsidRPr="006C0F69" w:rsidRDefault="0040306F" w:rsidP="00B93F89">
      <w:pPr>
        <w:pStyle w:val="AHPRAbodytext"/>
        <w:numPr>
          <w:ilvl w:val="0"/>
          <w:numId w:val="25"/>
        </w:numPr>
        <w:ind w:left="567" w:hanging="283"/>
        <w:rPr>
          <w:color w:val="54575A" w:themeColor="text1"/>
        </w:rPr>
      </w:pPr>
      <w:r w:rsidRPr="006C0F69">
        <w:rPr>
          <w:color w:val="54575A" w:themeColor="text1"/>
        </w:rPr>
        <w:t>sexual assault.</w:t>
      </w:r>
    </w:p>
    <w:p w:rsidR="0040306F" w:rsidRDefault="0040306F" w:rsidP="006078A7">
      <w:pPr>
        <w:pStyle w:val="AHPRAbodytext"/>
        <w:numPr>
          <w:ilvl w:val="1"/>
          <w:numId w:val="16"/>
        </w:numPr>
        <w:rPr>
          <w:b/>
          <w:color w:val="54575A" w:themeColor="text1"/>
        </w:rPr>
      </w:pPr>
      <w:r w:rsidRPr="00652BE8">
        <w:rPr>
          <w:b/>
          <w:color w:val="54575A" w:themeColor="text1"/>
        </w:rPr>
        <w:t>Other behaviours that may breach sexual boundaries</w:t>
      </w:r>
    </w:p>
    <w:p w:rsidR="00291FD1" w:rsidRPr="00291FD1" w:rsidRDefault="00291FD1" w:rsidP="006078A7">
      <w:pPr>
        <w:pStyle w:val="AHPRAbodytext"/>
        <w:ind w:left="284"/>
        <w:rPr>
          <w:color w:val="54575A" w:themeColor="text1"/>
        </w:rPr>
      </w:pPr>
      <w:r w:rsidRPr="00291FD1">
        <w:rPr>
          <w:color w:val="54575A" w:themeColor="text1"/>
        </w:rPr>
        <w:t xml:space="preserve">Other </w:t>
      </w:r>
      <w:r>
        <w:rPr>
          <w:color w:val="54575A" w:themeColor="text1"/>
        </w:rPr>
        <w:t>behaviours that may breach sexual boundaries include:</w:t>
      </w:r>
    </w:p>
    <w:p w:rsidR="0040306F" w:rsidRPr="008A5812" w:rsidRDefault="0040306F" w:rsidP="00B93F89">
      <w:pPr>
        <w:pStyle w:val="AHPRAbodytext"/>
        <w:numPr>
          <w:ilvl w:val="0"/>
          <w:numId w:val="25"/>
        </w:numPr>
        <w:ind w:left="567" w:hanging="283"/>
        <w:rPr>
          <w:color w:val="54575A" w:themeColor="text1"/>
        </w:rPr>
      </w:pPr>
      <w:r w:rsidRPr="008A5812">
        <w:rPr>
          <w:color w:val="54575A" w:themeColor="text1"/>
        </w:rPr>
        <w:t>asking a patient to undress more than is necessary or providing inadequate privacy screening or cover for a physical examination</w:t>
      </w:r>
    </w:p>
    <w:p w:rsidR="0040306F" w:rsidRPr="008A5812" w:rsidRDefault="0040306F" w:rsidP="00B93F89">
      <w:pPr>
        <w:pStyle w:val="AHPRAbodytext"/>
        <w:numPr>
          <w:ilvl w:val="0"/>
          <w:numId w:val="25"/>
        </w:numPr>
        <w:ind w:left="567" w:hanging="283"/>
        <w:rPr>
          <w:color w:val="54575A" w:themeColor="text1"/>
        </w:rPr>
      </w:pPr>
      <w:r w:rsidRPr="008A5812">
        <w:rPr>
          <w:color w:val="54575A" w:themeColor="text1"/>
        </w:rPr>
        <w:t>engaging in sexualised behavior with an individual who is close to a patient under the doctor’s care, such as a patient’s carer, guardian, spouse, family member or the parent of a child patient.</w:t>
      </w:r>
    </w:p>
    <w:p w:rsidR="0040306F" w:rsidRDefault="0040306F" w:rsidP="00B93F89">
      <w:pPr>
        <w:pStyle w:val="AHPRAbodytext"/>
        <w:numPr>
          <w:ilvl w:val="0"/>
          <w:numId w:val="25"/>
        </w:numPr>
        <w:ind w:left="567" w:hanging="283"/>
        <w:rPr>
          <w:color w:val="54575A" w:themeColor="text1"/>
        </w:rPr>
      </w:pPr>
      <w:r w:rsidRPr="008A5812">
        <w:rPr>
          <w:color w:val="54575A" w:themeColor="text1"/>
        </w:rPr>
        <w:t>engaging in sexualised behaviour with a former patient.</w:t>
      </w:r>
    </w:p>
    <w:p w:rsidR="0040306F" w:rsidRPr="00A11E78" w:rsidRDefault="0040306F" w:rsidP="006C0F69">
      <w:pPr>
        <w:pStyle w:val="AHPRASubheading"/>
        <w:numPr>
          <w:ilvl w:val="0"/>
          <w:numId w:val="16"/>
        </w:numPr>
        <w:rPr>
          <w:sz w:val="24"/>
          <w:lang w:val="en-US"/>
        </w:rPr>
      </w:pPr>
      <w:r w:rsidRPr="00A11E78">
        <w:rPr>
          <w:sz w:val="24"/>
          <w:lang w:val="en-US"/>
        </w:rPr>
        <w:t>Guidance on maintaining sexual boundaries with current patients</w:t>
      </w:r>
    </w:p>
    <w:p w:rsidR="0040306F" w:rsidRPr="008A5812" w:rsidRDefault="0040306F" w:rsidP="006078A7">
      <w:pPr>
        <w:pStyle w:val="AHPRAbodytext"/>
        <w:ind w:left="350"/>
        <w:rPr>
          <w:color w:val="54575A" w:themeColor="text1"/>
        </w:rPr>
      </w:pPr>
      <w:bookmarkStart w:id="1" w:name="_Toc315895075"/>
      <w:bookmarkStart w:id="2" w:name="_Toc315895086"/>
      <w:r w:rsidRPr="008A5812">
        <w:rPr>
          <w:color w:val="54575A" w:themeColor="text1"/>
        </w:rPr>
        <w:t xml:space="preserve">Doctors are responsible for establishing and maintaining sexual boundaries with their patients, regardless of their patient’s behaviour. A patient cannot give their informed consent to </w:t>
      </w:r>
      <w:r w:rsidRPr="008A5812">
        <w:rPr>
          <w:color w:val="54575A" w:themeColor="text1"/>
        </w:rPr>
        <w:t>a sexual</w:t>
      </w:r>
      <w:r w:rsidR="00652BE8">
        <w:rPr>
          <w:color w:val="54575A" w:themeColor="text1"/>
        </w:rPr>
        <w:t xml:space="preserve"> relationship with their doctor</w:t>
      </w:r>
      <w:r w:rsidRPr="008A5812">
        <w:rPr>
          <w:color w:val="54575A" w:themeColor="text1"/>
        </w:rPr>
        <w:t xml:space="preserve"> because of the power imbalance in the doctor-patient relationship and their reliance on the doctor for their health care. Patient consent is never a valid reason for doctors to engage in sexualised behaviour.</w:t>
      </w:r>
    </w:p>
    <w:p w:rsidR="0040306F" w:rsidRPr="008A5812" w:rsidRDefault="0040306F" w:rsidP="006078A7">
      <w:pPr>
        <w:pStyle w:val="AHPRAbodytext"/>
        <w:ind w:left="364"/>
        <w:rPr>
          <w:color w:val="54575A" w:themeColor="text1"/>
        </w:rPr>
      </w:pPr>
      <w:r w:rsidRPr="008A5812">
        <w:rPr>
          <w:color w:val="54575A" w:themeColor="text1"/>
        </w:rPr>
        <w:t xml:space="preserve">The start of a sexual relationship between a doctor and a patient may not always be immediately obvious to either the doctor or patient. Doctors need to be alert to warning signs that could indicate that boundaries are being, or are about to be crossed. </w:t>
      </w:r>
    </w:p>
    <w:p w:rsidR="0040306F" w:rsidRPr="008A5812" w:rsidRDefault="0040306F" w:rsidP="006078A7">
      <w:pPr>
        <w:pStyle w:val="AHPRAbodytext"/>
        <w:ind w:left="364"/>
        <w:rPr>
          <w:color w:val="54575A" w:themeColor="text1"/>
        </w:rPr>
      </w:pPr>
      <w:r w:rsidRPr="008A5812">
        <w:rPr>
          <w:color w:val="54575A" w:themeColor="text1"/>
        </w:rPr>
        <w:t>Warning signs include but are not limited to:</w:t>
      </w:r>
    </w:p>
    <w:p w:rsidR="0040306F" w:rsidRPr="006C0F69" w:rsidRDefault="0040306F" w:rsidP="006078A7">
      <w:pPr>
        <w:numPr>
          <w:ilvl w:val="0"/>
          <w:numId w:val="28"/>
        </w:numPr>
        <w:spacing w:before="200" w:after="200" w:line="240" w:lineRule="auto"/>
        <w:ind w:left="709" w:hanging="317"/>
        <w:rPr>
          <w:rFonts w:cs="Arial"/>
          <w:color w:val="54575A" w:themeColor="text1"/>
          <w:sz w:val="20"/>
          <w:szCs w:val="20"/>
        </w:rPr>
      </w:pPr>
      <w:r w:rsidRPr="006C0F69">
        <w:rPr>
          <w:rFonts w:cs="Arial"/>
          <w:color w:val="54575A" w:themeColor="text1"/>
          <w:sz w:val="20"/>
          <w:szCs w:val="20"/>
        </w:rPr>
        <w:t>patients requesting or receiving non-urgent appointments at unusual hours or locations, especially when other staff are not present</w:t>
      </w:r>
    </w:p>
    <w:p w:rsidR="0040306F" w:rsidRPr="006C0F69" w:rsidRDefault="0040306F" w:rsidP="006078A7">
      <w:pPr>
        <w:numPr>
          <w:ilvl w:val="0"/>
          <w:numId w:val="28"/>
        </w:numPr>
        <w:spacing w:before="200" w:after="200" w:line="240" w:lineRule="auto"/>
        <w:ind w:left="709" w:hanging="317"/>
        <w:rPr>
          <w:rFonts w:cs="Arial"/>
          <w:color w:val="54575A" w:themeColor="text1"/>
          <w:sz w:val="20"/>
          <w:szCs w:val="20"/>
        </w:rPr>
      </w:pPr>
      <w:r w:rsidRPr="006C0F69">
        <w:rPr>
          <w:rFonts w:cs="Arial"/>
          <w:color w:val="54575A" w:themeColor="text1"/>
          <w:sz w:val="20"/>
          <w:szCs w:val="20"/>
        </w:rPr>
        <w:t>patients asking personal questions, using sexually explicit language or being overly affectionate</w:t>
      </w:r>
    </w:p>
    <w:p w:rsidR="0040306F" w:rsidRPr="006C0F69" w:rsidRDefault="0040306F" w:rsidP="006078A7">
      <w:pPr>
        <w:numPr>
          <w:ilvl w:val="0"/>
          <w:numId w:val="28"/>
        </w:numPr>
        <w:spacing w:before="200" w:after="200" w:line="240" w:lineRule="auto"/>
        <w:ind w:left="709" w:hanging="317"/>
        <w:rPr>
          <w:rFonts w:cs="Arial"/>
          <w:color w:val="54575A" w:themeColor="text1"/>
          <w:sz w:val="20"/>
          <w:szCs w:val="20"/>
        </w:rPr>
      </w:pPr>
      <w:r w:rsidRPr="006C0F69">
        <w:rPr>
          <w:rFonts w:cs="Arial"/>
          <w:color w:val="54575A" w:themeColor="text1"/>
          <w:sz w:val="20"/>
          <w:szCs w:val="20"/>
        </w:rPr>
        <w:t>patients attempting to give expensive gifts</w:t>
      </w:r>
    </w:p>
    <w:p w:rsidR="0040306F" w:rsidRPr="006C0F69" w:rsidRDefault="0040306F" w:rsidP="006078A7">
      <w:pPr>
        <w:numPr>
          <w:ilvl w:val="0"/>
          <w:numId w:val="28"/>
        </w:numPr>
        <w:spacing w:before="200" w:after="200" w:line="240" w:lineRule="auto"/>
        <w:ind w:left="709" w:hanging="317"/>
        <w:rPr>
          <w:rFonts w:cs="Arial"/>
          <w:color w:val="54575A" w:themeColor="text1"/>
          <w:sz w:val="20"/>
          <w:szCs w:val="20"/>
        </w:rPr>
      </w:pPr>
      <w:r w:rsidRPr="006C0F69">
        <w:rPr>
          <w:rFonts w:cs="Arial"/>
          <w:color w:val="54575A" w:themeColor="text1"/>
          <w:sz w:val="20"/>
          <w:szCs w:val="20"/>
        </w:rPr>
        <w:t xml:space="preserve">patients and doctors inviting each other out socially </w:t>
      </w:r>
    </w:p>
    <w:p w:rsidR="0040306F" w:rsidRPr="006C0F69" w:rsidRDefault="0040306F" w:rsidP="006078A7">
      <w:pPr>
        <w:numPr>
          <w:ilvl w:val="0"/>
          <w:numId w:val="28"/>
        </w:numPr>
        <w:spacing w:before="200" w:after="200" w:line="240" w:lineRule="auto"/>
        <w:ind w:left="709" w:hanging="317"/>
        <w:rPr>
          <w:rFonts w:cs="Arial"/>
          <w:color w:val="54575A" w:themeColor="text1"/>
          <w:sz w:val="20"/>
          <w:szCs w:val="20"/>
        </w:rPr>
      </w:pPr>
      <w:r w:rsidRPr="006C0F69">
        <w:rPr>
          <w:rFonts w:cs="Arial"/>
          <w:color w:val="54575A" w:themeColor="text1"/>
          <w:sz w:val="20"/>
          <w:szCs w:val="20"/>
        </w:rPr>
        <w:t>a doctor revealing to a patient intimate details of their life, especially personal crises or sexual desires or practices</w:t>
      </w:r>
    </w:p>
    <w:p w:rsidR="0040306F" w:rsidRPr="006C0F69" w:rsidRDefault="00652BE8" w:rsidP="006078A7">
      <w:pPr>
        <w:numPr>
          <w:ilvl w:val="0"/>
          <w:numId w:val="28"/>
        </w:numPr>
        <w:spacing w:before="200" w:after="200" w:line="240" w:lineRule="auto"/>
        <w:ind w:left="709" w:hanging="317"/>
        <w:rPr>
          <w:rFonts w:cs="Arial"/>
          <w:color w:val="54575A" w:themeColor="text1"/>
          <w:sz w:val="20"/>
          <w:szCs w:val="20"/>
        </w:rPr>
      </w:pPr>
      <w:r>
        <w:rPr>
          <w:rFonts w:cs="Arial"/>
          <w:color w:val="54575A" w:themeColor="text1"/>
          <w:sz w:val="20"/>
          <w:szCs w:val="20"/>
        </w:rPr>
        <w:t xml:space="preserve">a doctor who finds themselves </w:t>
      </w:r>
      <w:r w:rsidR="0040306F" w:rsidRPr="006C0F69">
        <w:rPr>
          <w:rFonts w:cs="Arial"/>
          <w:color w:val="54575A" w:themeColor="text1"/>
          <w:sz w:val="20"/>
          <w:szCs w:val="20"/>
        </w:rPr>
        <w:t>daydreaming or fantasising about a patient.</w:t>
      </w:r>
    </w:p>
    <w:p w:rsidR="0040306F" w:rsidRPr="008A5812" w:rsidRDefault="0040306F" w:rsidP="006078A7">
      <w:pPr>
        <w:pStyle w:val="AHPRAbodytext"/>
        <w:ind w:left="350"/>
        <w:rPr>
          <w:color w:val="54575A" w:themeColor="text1"/>
        </w:rPr>
      </w:pPr>
      <w:r w:rsidRPr="008A5812">
        <w:rPr>
          <w:color w:val="54575A" w:themeColor="text1"/>
        </w:rPr>
        <w:t>If a doctor senses any of these warning signs, or if a patient talks about or displays inappropriate feelings towards a doctor or exhibits sexualised behaviour, the doctor should consider whether this is interfering with the patient’s care and/or placing the doctor or the patient at risk. In these situations, the doctor should try to constructively re-establish professional boundaries and seek advice from an experienced and trusted colleague or their professional indemnity insurer about how to best manage the situation.</w:t>
      </w:r>
    </w:p>
    <w:p w:rsidR="0040306F" w:rsidRPr="008A5812" w:rsidRDefault="0040306F" w:rsidP="006078A7">
      <w:pPr>
        <w:pStyle w:val="AHPRAbodytext"/>
        <w:ind w:left="350"/>
        <w:rPr>
          <w:color w:val="54575A" w:themeColor="text1"/>
        </w:rPr>
      </w:pPr>
      <w:r w:rsidRPr="008A5812">
        <w:rPr>
          <w:color w:val="54575A" w:themeColor="text1"/>
        </w:rPr>
        <w:t>If there is a possibility that sexual boundaries could be breached, or that the doctor may not remain objective, the doctor should transfer the patient’s care to another doctor. This should be done sensitively so that a potentially vulnerable patient is not further harmed.</w:t>
      </w:r>
    </w:p>
    <w:p w:rsidR="0040306F" w:rsidRPr="00A11E78" w:rsidRDefault="0040306F" w:rsidP="006C0F69">
      <w:pPr>
        <w:pStyle w:val="AHPRASubheading"/>
        <w:numPr>
          <w:ilvl w:val="0"/>
          <w:numId w:val="16"/>
        </w:numPr>
        <w:rPr>
          <w:sz w:val="24"/>
          <w:lang w:val="en-US"/>
        </w:rPr>
      </w:pPr>
      <w:r w:rsidRPr="00A11E78">
        <w:rPr>
          <w:sz w:val="24"/>
          <w:lang w:val="en-US"/>
        </w:rPr>
        <w:t>Guidance on maintaining sexual boundaries with former patients</w:t>
      </w:r>
    </w:p>
    <w:p w:rsidR="0040306F" w:rsidRPr="00B93F89" w:rsidRDefault="0040306F" w:rsidP="006078A7">
      <w:pPr>
        <w:spacing w:before="200" w:after="200" w:line="240" w:lineRule="auto"/>
        <w:ind w:left="350"/>
        <w:rPr>
          <w:rFonts w:cs="Arial"/>
          <w:color w:val="54575A" w:themeColor="text1"/>
          <w:sz w:val="20"/>
          <w:szCs w:val="20"/>
        </w:rPr>
      </w:pPr>
      <w:r w:rsidRPr="00B93F89">
        <w:rPr>
          <w:rFonts w:cs="Arial"/>
          <w:color w:val="54575A" w:themeColor="text1"/>
          <w:sz w:val="20"/>
          <w:szCs w:val="20"/>
        </w:rPr>
        <w:t xml:space="preserve">It may be unethical and unprofessional for a doctor to engage in sexualised behaviour with a </w:t>
      </w:r>
      <w:r w:rsidRPr="00B93F89">
        <w:rPr>
          <w:rFonts w:cs="Arial"/>
          <w:color w:val="54575A" w:themeColor="text1"/>
          <w:sz w:val="20"/>
          <w:szCs w:val="20"/>
        </w:rPr>
        <w:lastRenderedPageBreak/>
        <w:t xml:space="preserve">former patient, if this breaches the trust the patient placed in the doctor. Doctors should recognise the influence they have had on patients and that a power imbalance could continue long after the professional relationship has ended. </w:t>
      </w:r>
    </w:p>
    <w:p w:rsidR="0040306F" w:rsidRPr="00D843F6" w:rsidRDefault="0040306F" w:rsidP="006078A7">
      <w:pPr>
        <w:pStyle w:val="ListParagraph"/>
        <w:spacing w:before="200" w:after="200" w:line="240" w:lineRule="auto"/>
        <w:ind w:left="364"/>
        <w:contextualSpacing w:val="0"/>
        <w:rPr>
          <w:rFonts w:cs="Arial"/>
          <w:color w:val="54575A" w:themeColor="text1"/>
          <w:sz w:val="20"/>
          <w:szCs w:val="20"/>
        </w:rPr>
      </w:pPr>
      <w:r w:rsidRPr="00D843F6">
        <w:rPr>
          <w:rFonts w:cs="Arial"/>
          <w:color w:val="54575A" w:themeColor="text1"/>
          <w:sz w:val="20"/>
          <w:szCs w:val="20"/>
        </w:rPr>
        <w:t xml:space="preserve">A doctor should consider carefully whether they could be exploiting the trust, knowledge and dependence that developed during the doctor-patient relationship, before they decide whether or not to pursue or engage in a relationship with a former patient. </w:t>
      </w:r>
    </w:p>
    <w:p w:rsidR="0040306F" w:rsidRPr="00D843F6" w:rsidRDefault="0040306F" w:rsidP="006078A7">
      <w:pPr>
        <w:pStyle w:val="ListParagraph"/>
        <w:spacing w:before="200" w:after="200" w:line="240" w:lineRule="auto"/>
        <w:ind w:left="364"/>
        <w:contextualSpacing w:val="0"/>
        <w:rPr>
          <w:rFonts w:cs="Arial"/>
          <w:color w:val="54575A" w:themeColor="text1"/>
          <w:sz w:val="20"/>
          <w:szCs w:val="20"/>
        </w:rPr>
      </w:pPr>
      <w:r w:rsidRPr="00D843F6">
        <w:rPr>
          <w:rFonts w:cs="Arial"/>
          <w:color w:val="54575A" w:themeColor="text1"/>
          <w:sz w:val="20"/>
          <w:szCs w:val="20"/>
        </w:rPr>
        <w:t xml:space="preserve">When deciding whether a doctor used the doctor-patient relationship to engage in or pursue an inappropriate relationship with a former patient, the Board will consider a range of factors including: </w:t>
      </w:r>
    </w:p>
    <w:p w:rsidR="0040306F" w:rsidRPr="006C0F69" w:rsidRDefault="0040306F" w:rsidP="00B93F89">
      <w:pPr>
        <w:numPr>
          <w:ilvl w:val="0"/>
          <w:numId w:val="29"/>
        </w:numPr>
        <w:spacing w:before="200" w:after="200" w:line="240" w:lineRule="auto"/>
        <w:ind w:left="709"/>
        <w:rPr>
          <w:rFonts w:cs="Arial"/>
          <w:color w:val="54575A" w:themeColor="text1"/>
          <w:sz w:val="20"/>
          <w:szCs w:val="20"/>
        </w:rPr>
      </w:pPr>
      <w:r w:rsidRPr="006C0F69">
        <w:rPr>
          <w:rFonts w:cs="Arial"/>
          <w:color w:val="54575A" w:themeColor="text1"/>
          <w:sz w:val="20"/>
          <w:szCs w:val="20"/>
        </w:rPr>
        <w:t xml:space="preserve">the duration and type of care provided by the doctor; for example, if they had provided long-term emotional or psychological treatment </w:t>
      </w:r>
    </w:p>
    <w:p w:rsidR="0040306F" w:rsidRPr="006C0F69" w:rsidRDefault="0040306F" w:rsidP="00B93F89">
      <w:pPr>
        <w:numPr>
          <w:ilvl w:val="0"/>
          <w:numId w:val="29"/>
        </w:numPr>
        <w:spacing w:before="200" w:after="200" w:line="240" w:lineRule="auto"/>
        <w:ind w:left="709"/>
        <w:rPr>
          <w:rFonts w:cs="Arial"/>
          <w:color w:val="54575A" w:themeColor="text1"/>
          <w:sz w:val="20"/>
          <w:szCs w:val="20"/>
        </w:rPr>
      </w:pPr>
      <w:r w:rsidRPr="006C0F69">
        <w:rPr>
          <w:rFonts w:cs="Arial"/>
          <w:color w:val="54575A" w:themeColor="text1"/>
          <w:sz w:val="20"/>
          <w:szCs w:val="20"/>
        </w:rPr>
        <w:t>the degree of vulnerability of the patient</w:t>
      </w:r>
    </w:p>
    <w:p w:rsidR="0040306F" w:rsidRPr="006C0F69" w:rsidRDefault="0040306F" w:rsidP="00B93F89">
      <w:pPr>
        <w:numPr>
          <w:ilvl w:val="0"/>
          <w:numId w:val="29"/>
        </w:numPr>
        <w:spacing w:before="200" w:after="200" w:line="240" w:lineRule="auto"/>
        <w:ind w:left="709"/>
        <w:rPr>
          <w:rFonts w:cs="Arial"/>
          <w:color w:val="54575A" w:themeColor="text1"/>
          <w:sz w:val="20"/>
          <w:szCs w:val="20"/>
        </w:rPr>
      </w:pPr>
      <w:r w:rsidRPr="006C0F69">
        <w:rPr>
          <w:rFonts w:cs="Arial"/>
          <w:color w:val="54575A" w:themeColor="text1"/>
          <w:sz w:val="20"/>
          <w:szCs w:val="20"/>
        </w:rPr>
        <w:t xml:space="preserve">the extent of the patient’s dependence in the doctor-patient relationship </w:t>
      </w:r>
    </w:p>
    <w:p w:rsidR="0040306F" w:rsidRPr="006C0F69" w:rsidRDefault="0040306F" w:rsidP="00B93F89">
      <w:pPr>
        <w:numPr>
          <w:ilvl w:val="0"/>
          <w:numId w:val="29"/>
        </w:numPr>
        <w:spacing w:before="200" w:after="200" w:line="240" w:lineRule="auto"/>
        <w:ind w:left="709"/>
        <w:rPr>
          <w:rFonts w:cs="Arial"/>
          <w:color w:val="54575A" w:themeColor="text1"/>
          <w:sz w:val="20"/>
          <w:szCs w:val="20"/>
        </w:rPr>
      </w:pPr>
      <w:r w:rsidRPr="006C0F69">
        <w:rPr>
          <w:rFonts w:cs="Arial"/>
          <w:color w:val="54575A" w:themeColor="text1"/>
          <w:sz w:val="20"/>
          <w:szCs w:val="20"/>
        </w:rPr>
        <w:t>the time elapsed since the end of the professional relationship</w:t>
      </w:r>
    </w:p>
    <w:p w:rsidR="0040306F" w:rsidRPr="006C0F69" w:rsidRDefault="0040306F" w:rsidP="00B93F89">
      <w:pPr>
        <w:numPr>
          <w:ilvl w:val="0"/>
          <w:numId w:val="29"/>
        </w:numPr>
        <w:spacing w:before="200" w:after="200" w:line="240" w:lineRule="auto"/>
        <w:ind w:left="709"/>
        <w:rPr>
          <w:rFonts w:cs="Arial"/>
          <w:color w:val="54575A" w:themeColor="text1"/>
          <w:sz w:val="20"/>
          <w:szCs w:val="20"/>
        </w:rPr>
      </w:pPr>
      <w:r w:rsidRPr="006C0F69">
        <w:rPr>
          <w:rFonts w:cs="Arial"/>
          <w:color w:val="54575A" w:themeColor="text1"/>
          <w:sz w:val="20"/>
          <w:szCs w:val="20"/>
        </w:rPr>
        <w:t>the manner in which, and reason why, the professional relationship ended or was terminated</w:t>
      </w:r>
    </w:p>
    <w:p w:rsidR="0040306F" w:rsidRDefault="0040306F" w:rsidP="00B93F89">
      <w:pPr>
        <w:numPr>
          <w:ilvl w:val="0"/>
          <w:numId w:val="29"/>
        </w:numPr>
        <w:spacing w:before="200" w:after="200" w:line="240" w:lineRule="auto"/>
        <w:ind w:left="709"/>
        <w:rPr>
          <w:rFonts w:cs="Arial"/>
          <w:color w:val="54575A" w:themeColor="text1"/>
          <w:sz w:val="20"/>
          <w:szCs w:val="20"/>
        </w:rPr>
      </w:pPr>
      <w:r w:rsidRPr="006C0F69">
        <w:rPr>
          <w:rFonts w:cs="Arial"/>
          <w:color w:val="54575A" w:themeColor="text1"/>
          <w:sz w:val="20"/>
          <w:szCs w:val="20"/>
        </w:rPr>
        <w:t>the context in which the sexual relationship started.</w:t>
      </w:r>
    </w:p>
    <w:p w:rsidR="0040306F" w:rsidRPr="00A11E78" w:rsidRDefault="0040306F" w:rsidP="006C0F69">
      <w:pPr>
        <w:pStyle w:val="AHPRASubheading"/>
        <w:numPr>
          <w:ilvl w:val="0"/>
          <w:numId w:val="16"/>
        </w:numPr>
        <w:rPr>
          <w:sz w:val="24"/>
          <w:lang w:val="en-US"/>
        </w:rPr>
      </w:pPr>
      <w:r w:rsidRPr="00A11E78">
        <w:rPr>
          <w:sz w:val="24"/>
          <w:lang w:val="en-US"/>
        </w:rPr>
        <w:t>Guidance on maintaining sexual boundaries with individuals close to the patient</w:t>
      </w:r>
    </w:p>
    <w:bookmarkEnd w:id="1"/>
    <w:bookmarkEnd w:id="2"/>
    <w:p w:rsidR="0040306F" w:rsidRPr="006C0F69" w:rsidRDefault="0040306F" w:rsidP="006078A7">
      <w:pPr>
        <w:pStyle w:val="AHPRASubheading"/>
        <w:ind w:left="364"/>
        <w:rPr>
          <w:rFonts w:cs="Arial"/>
          <w:b w:val="0"/>
          <w:color w:val="54575A" w:themeColor="text1"/>
          <w:szCs w:val="20"/>
        </w:rPr>
      </w:pPr>
      <w:r w:rsidRPr="006C0F69">
        <w:rPr>
          <w:rFonts w:cs="Arial"/>
          <w:b w:val="0"/>
          <w:color w:val="54575A" w:themeColor="text1"/>
          <w:szCs w:val="20"/>
        </w:rPr>
        <w:t>A patient usually has a personal or emotional relationship with the individual</w:t>
      </w:r>
      <w:r w:rsidRPr="006C0F69">
        <w:rPr>
          <w:rStyle w:val="FootnoteReference"/>
          <w:rFonts w:cs="Arial"/>
          <w:b w:val="0"/>
          <w:color w:val="54575A" w:themeColor="text1"/>
          <w:szCs w:val="20"/>
        </w:rPr>
        <w:footnoteReference w:id="8"/>
      </w:r>
      <w:r w:rsidR="008757C2">
        <w:rPr>
          <w:rFonts w:cs="Arial"/>
          <w:b w:val="0"/>
          <w:color w:val="54575A" w:themeColor="text1"/>
          <w:szCs w:val="20"/>
        </w:rPr>
        <w:t xml:space="preserve"> </w:t>
      </w:r>
      <w:r w:rsidRPr="006C0F69">
        <w:rPr>
          <w:rFonts w:cs="Arial"/>
          <w:b w:val="0"/>
          <w:color w:val="54575A" w:themeColor="text1"/>
          <w:szCs w:val="20"/>
        </w:rPr>
        <w:t>involved or interested in their health care. This individual may provide them with support and advice. In some cases, such as when they are the parent of a child patient, they may make decisions on behalf of the patient about their health care. The individual close to the patient also relies on the doctor and trusts that the doctor is acting in the best interests of the patient.</w:t>
      </w:r>
    </w:p>
    <w:p w:rsidR="0040306F" w:rsidRPr="006C0F69" w:rsidRDefault="0040306F" w:rsidP="006078A7">
      <w:pPr>
        <w:pStyle w:val="AHPRASubheading"/>
        <w:ind w:left="364"/>
        <w:rPr>
          <w:rFonts w:cs="Arial"/>
          <w:b w:val="0"/>
          <w:color w:val="54575A" w:themeColor="text1"/>
          <w:szCs w:val="20"/>
        </w:rPr>
      </w:pPr>
      <w:r w:rsidRPr="006C0F69">
        <w:rPr>
          <w:rFonts w:cs="Arial"/>
          <w:b w:val="0"/>
          <w:color w:val="54575A" w:themeColor="text1"/>
          <w:szCs w:val="20"/>
        </w:rPr>
        <w:t xml:space="preserve">Engaging in sexualised behaviour with an individual close to a patient may affect the judgement of both the doctor and the other </w:t>
      </w:r>
      <w:r w:rsidRPr="006C0F69">
        <w:rPr>
          <w:rFonts w:cs="Arial"/>
          <w:b w:val="0"/>
          <w:color w:val="54575A" w:themeColor="text1"/>
          <w:szCs w:val="20"/>
        </w:rPr>
        <w:t>individual and as a result, may undermine the patient’s health care. A sexual relationship between a doctor and an individual close to the patient may be unethical if the doctor has used any power imbalance, knowledge or influence obtained as the patient’s doctor to engage in the relationship.</w:t>
      </w:r>
    </w:p>
    <w:p w:rsidR="0040306F" w:rsidRPr="00750FC0" w:rsidRDefault="0040306F" w:rsidP="006078A7">
      <w:pPr>
        <w:spacing w:before="200" w:line="240" w:lineRule="auto"/>
        <w:ind w:left="378"/>
        <w:rPr>
          <w:rFonts w:cs="Arial"/>
          <w:color w:val="54575A" w:themeColor="text1"/>
          <w:sz w:val="20"/>
          <w:szCs w:val="20"/>
        </w:rPr>
      </w:pPr>
      <w:r w:rsidRPr="00750FC0">
        <w:rPr>
          <w:rFonts w:cs="Arial"/>
          <w:color w:val="54575A" w:themeColor="text1"/>
          <w:sz w:val="20"/>
          <w:szCs w:val="20"/>
        </w:rPr>
        <w:t xml:space="preserve">When deciding whether a doctor used the doctor-patient relationship to engage in or pursue an inappropriate relationship with an individual close to the patient, the Board will consider a range of factors including: </w:t>
      </w:r>
    </w:p>
    <w:p w:rsidR="0040306F" w:rsidRPr="006C0F69" w:rsidRDefault="0040306F" w:rsidP="006078A7">
      <w:pPr>
        <w:pStyle w:val="AHPRASubheading"/>
        <w:numPr>
          <w:ilvl w:val="0"/>
          <w:numId w:val="30"/>
        </w:numPr>
        <w:ind w:hanging="252"/>
        <w:rPr>
          <w:rFonts w:cs="Arial"/>
          <w:b w:val="0"/>
          <w:color w:val="54575A" w:themeColor="text1"/>
          <w:szCs w:val="20"/>
        </w:rPr>
      </w:pPr>
      <w:r w:rsidRPr="006C0F69">
        <w:rPr>
          <w:rFonts w:cs="Arial"/>
          <w:b w:val="0"/>
          <w:color w:val="54575A" w:themeColor="text1"/>
          <w:szCs w:val="20"/>
        </w:rPr>
        <w:t xml:space="preserve">the duration and type of care provided by the doctor to the patient; for example, if they had provided long-term emotional or psychological treatment </w:t>
      </w:r>
    </w:p>
    <w:p w:rsidR="0040306F" w:rsidRPr="006C0F69" w:rsidRDefault="0040306F" w:rsidP="006078A7">
      <w:pPr>
        <w:pStyle w:val="AHPRASubheading"/>
        <w:numPr>
          <w:ilvl w:val="0"/>
          <w:numId w:val="30"/>
        </w:numPr>
        <w:ind w:hanging="252"/>
        <w:rPr>
          <w:rFonts w:cs="Arial"/>
          <w:b w:val="0"/>
          <w:color w:val="54575A" w:themeColor="text1"/>
          <w:szCs w:val="20"/>
        </w:rPr>
      </w:pPr>
      <w:r w:rsidRPr="006C0F69">
        <w:rPr>
          <w:rFonts w:cs="Arial"/>
          <w:b w:val="0"/>
          <w:color w:val="54575A" w:themeColor="text1"/>
          <w:szCs w:val="20"/>
        </w:rPr>
        <w:t>the degree of emotional dependence on the doctor by the individual close to the patient</w:t>
      </w:r>
    </w:p>
    <w:p w:rsidR="0040306F" w:rsidRPr="006C0F69" w:rsidRDefault="0040306F" w:rsidP="006078A7">
      <w:pPr>
        <w:pStyle w:val="AHPRASubheading"/>
        <w:numPr>
          <w:ilvl w:val="0"/>
          <w:numId w:val="30"/>
        </w:numPr>
        <w:ind w:hanging="252"/>
        <w:rPr>
          <w:rFonts w:cs="Arial"/>
          <w:b w:val="0"/>
          <w:color w:val="54575A" w:themeColor="text1"/>
          <w:szCs w:val="20"/>
        </w:rPr>
      </w:pPr>
      <w:r w:rsidRPr="006C0F69">
        <w:rPr>
          <w:rFonts w:cs="Arial"/>
          <w:b w:val="0"/>
          <w:color w:val="54575A" w:themeColor="text1"/>
          <w:szCs w:val="20"/>
        </w:rPr>
        <w:t>whether the doctor used any knowledge or influence obtained as the patient’s doctor to engage in a sexual relationship with the individual close to the patient</w:t>
      </w:r>
    </w:p>
    <w:p w:rsidR="0040306F" w:rsidRPr="006C0F69" w:rsidRDefault="0040306F" w:rsidP="006078A7">
      <w:pPr>
        <w:pStyle w:val="AHPRASubheading"/>
        <w:numPr>
          <w:ilvl w:val="0"/>
          <w:numId w:val="30"/>
        </w:numPr>
        <w:ind w:hanging="252"/>
        <w:rPr>
          <w:rFonts w:cs="Arial"/>
          <w:b w:val="0"/>
          <w:color w:val="54575A" w:themeColor="text1"/>
          <w:szCs w:val="20"/>
        </w:rPr>
      </w:pPr>
      <w:r w:rsidRPr="006C0F69">
        <w:rPr>
          <w:rFonts w:cs="Arial"/>
          <w:b w:val="0"/>
          <w:color w:val="54575A" w:themeColor="text1"/>
          <w:szCs w:val="20"/>
        </w:rPr>
        <w:t>the importance of the patient’s clinical treatment to the patient and to the individual close to them</w:t>
      </w:r>
    </w:p>
    <w:p w:rsidR="0040306F" w:rsidRPr="006C0F69" w:rsidRDefault="0040306F" w:rsidP="006078A7">
      <w:pPr>
        <w:pStyle w:val="AHPRASubheading"/>
        <w:numPr>
          <w:ilvl w:val="0"/>
          <w:numId w:val="30"/>
        </w:numPr>
        <w:ind w:hanging="252"/>
        <w:rPr>
          <w:rFonts w:cs="Arial"/>
          <w:b w:val="0"/>
          <w:color w:val="54575A" w:themeColor="text1"/>
          <w:szCs w:val="20"/>
        </w:rPr>
      </w:pPr>
      <w:r w:rsidRPr="006C0F69">
        <w:rPr>
          <w:rFonts w:cs="Arial"/>
          <w:b w:val="0"/>
          <w:color w:val="54575A" w:themeColor="text1"/>
          <w:szCs w:val="20"/>
        </w:rPr>
        <w:t>the extent to which the patient is reliant on the individual close to them.</w:t>
      </w:r>
    </w:p>
    <w:p w:rsidR="0040306F" w:rsidRPr="00A11E78" w:rsidRDefault="0040306F" w:rsidP="006C0F69">
      <w:pPr>
        <w:pStyle w:val="AHPRASubheading"/>
        <w:numPr>
          <w:ilvl w:val="0"/>
          <w:numId w:val="16"/>
        </w:numPr>
        <w:rPr>
          <w:sz w:val="24"/>
          <w:lang w:val="en-US"/>
        </w:rPr>
      </w:pPr>
      <w:r w:rsidRPr="00A11E78">
        <w:rPr>
          <w:sz w:val="24"/>
          <w:lang w:val="en-US"/>
        </w:rPr>
        <w:t>Physical examinations</w:t>
      </w:r>
    </w:p>
    <w:p w:rsidR="0040306F" w:rsidRPr="006C0F69" w:rsidRDefault="0040306F" w:rsidP="006078A7">
      <w:pPr>
        <w:pStyle w:val="AHPRASubhead"/>
        <w:spacing w:before="200"/>
        <w:ind w:left="378"/>
        <w:rPr>
          <w:rFonts w:cs="Arial"/>
          <w:b w:val="0"/>
          <w:color w:val="54575A" w:themeColor="text1"/>
          <w:szCs w:val="20"/>
        </w:rPr>
      </w:pPr>
      <w:r w:rsidRPr="008A5812">
        <w:rPr>
          <w:rFonts w:asciiTheme="minorHAnsi" w:eastAsiaTheme="minorHAnsi" w:hAnsiTheme="minorHAnsi" w:cs="Arial"/>
          <w:b w:val="0"/>
          <w:color w:val="54575A" w:themeColor="text1"/>
          <w:szCs w:val="20"/>
          <w:lang w:val="en-AU"/>
        </w:rPr>
        <w:t>Doctors should only conduct a physical examination if it is clinically warranted. An unnecessary physical</w:t>
      </w:r>
      <w:r w:rsidRPr="006C0F69">
        <w:rPr>
          <w:rFonts w:cs="Arial"/>
          <w:b w:val="0"/>
          <w:color w:val="54575A" w:themeColor="text1"/>
          <w:szCs w:val="20"/>
        </w:rPr>
        <w:t xml:space="preserve"> examination may constitute sexual assault. This includes conducting or allowing others, such as students, to conduct examinations on anaesthetised patients, when the patient has not given explicit consent for the examination.</w:t>
      </w:r>
    </w:p>
    <w:p w:rsidR="0040306F" w:rsidRPr="006C0F69" w:rsidRDefault="0040306F" w:rsidP="006078A7">
      <w:pPr>
        <w:pStyle w:val="AHPRASubhead"/>
        <w:spacing w:before="200"/>
        <w:ind w:left="378"/>
        <w:rPr>
          <w:rFonts w:cs="Arial"/>
          <w:b w:val="0"/>
          <w:color w:val="54575A" w:themeColor="text1"/>
          <w:szCs w:val="20"/>
        </w:rPr>
      </w:pPr>
      <w:r w:rsidRPr="006C0F69">
        <w:rPr>
          <w:rFonts w:cs="Arial"/>
          <w:b w:val="0"/>
          <w:color w:val="54575A" w:themeColor="text1"/>
          <w:szCs w:val="20"/>
        </w:rPr>
        <w:t>Before conducting a physical examination, good medical practice</w:t>
      </w:r>
      <w:r w:rsidRPr="006C0F69">
        <w:rPr>
          <w:rFonts w:cs="Arial"/>
          <w:color w:val="54575A" w:themeColor="text1"/>
          <w:szCs w:val="20"/>
        </w:rPr>
        <w:t xml:space="preserve"> </w:t>
      </w:r>
      <w:r w:rsidRPr="006C0F69">
        <w:rPr>
          <w:rFonts w:cs="Arial"/>
          <w:b w:val="0"/>
          <w:color w:val="54575A" w:themeColor="text1"/>
          <w:szCs w:val="20"/>
        </w:rPr>
        <w:t xml:space="preserve">involves: </w:t>
      </w:r>
    </w:p>
    <w:p w:rsidR="0040306F" w:rsidRPr="006C0F69" w:rsidRDefault="0040306F" w:rsidP="006078A7">
      <w:pPr>
        <w:numPr>
          <w:ilvl w:val="0"/>
          <w:numId w:val="32"/>
        </w:numPr>
        <w:spacing w:before="200" w:after="200" w:line="240" w:lineRule="auto"/>
        <w:ind w:left="658" w:hanging="280"/>
        <w:rPr>
          <w:rFonts w:cs="Arial"/>
          <w:color w:val="54575A" w:themeColor="text1"/>
          <w:sz w:val="20"/>
          <w:szCs w:val="20"/>
        </w:rPr>
      </w:pPr>
      <w:r w:rsidRPr="006C0F69">
        <w:rPr>
          <w:rFonts w:cs="Arial"/>
          <w:color w:val="54575A" w:themeColor="text1"/>
          <w:sz w:val="20"/>
          <w:szCs w:val="20"/>
        </w:rPr>
        <w:t xml:space="preserve">explaining to the patient why the examination is necessary, what it involves and providing an opportunity for them to ask questions or to refuse the examination </w:t>
      </w:r>
    </w:p>
    <w:p w:rsidR="0040306F" w:rsidRPr="006C0F69" w:rsidRDefault="0040306F" w:rsidP="006078A7">
      <w:pPr>
        <w:numPr>
          <w:ilvl w:val="0"/>
          <w:numId w:val="32"/>
        </w:numPr>
        <w:spacing w:before="200" w:after="200" w:line="240" w:lineRule="auto"/>
        <w:ind w:left="658" w:hanging="280"/>
        <w:rPr>
          <w:rFonts w:cs="Arial"/>
          <w:color w:val="54575A" w:themeColor="text1"/>
          <w:sz w:val="20"/>
          <w:szCs w:val="20"/>
        </w:rPr>
      </w:pPr>
      <w:r w:rsidRPr="006C0F69">
        <w:rPr>
          <w:rFonts w:cs="Arial"/>
          <w:color w:val="54575A" w:themeColor="text1"/>
          <w:sz w:val="20"/>
          <w:szCs w:val="20"/>
        </w:rPr>
        <w:t xml:space="preserve">obtaining the patient’s informed consent </w:t>
      </w:r>
    </w:p>
    <w:p w:rsidR="0040306F" w:rsidRPr="006C0F69" w:rsidRDefault="0040306F" w:rsidP="006078A7">
      <w:pPr>
        <w:numPr>
          <w:ilvl w:val="0"/>
          <w:numId w:val="32"/>
        </w:numPr>
        <w:spacing w:before="200" w:after="200" w:line="240" w:lineRule="auto"/>
        <w:ind w:left="658" w:hanging="280"/>
        <w:rPr>
          <w:rFonts w:cs="Arial"/>
          <w:color w:val="54575A" w:themeColor="text1"/>
          <w:sz w:val="20"/>
          <w:szCs w:val="20"/>
        </w:rPr>
      </w:pPr>
      <w:r w:rsidRPr="006C0F69">
        <w:rPr>
          <w:rFonts w:cs="Arial"/>
          <w:color w:val="54575A" w:themeColor="text1"/>
          <w:sz w:val="20"/>
          <w:szCs w:val="20"/>
        </w:rPr>
        <w:t>assessing whether a patient who is a child or young person is capable of giving informed consent and if they are not capable, seeking consent from their legal parent or guardian.</w:t>
      </w:r>
    </w:p>
    <w:p w:rsidR="0040306F" w:rsidRPr="006C0F69" w:rsidRDefault="0040306F" w:rsidP="0049777A">
      <w:pPr>
        <w:pStyle w:val="AHPRASubhead"/>
        <w:spacing w:before="200"/>
        <w:ind w:left="378"/>
        <w:rPr>
          <w:rFonts w:cs="Arial"/>
          <w:b w:val="0"/>
          <w:color w:val="54575A" w:themeColor="text1"/>
          <w:szCs w:val="20"/>
        </w:rPr>
      </w:pPr>
      <w:r w:rsidRPr="006C0F69">
        <w:rPr>
          <w:rFonts w:cs="Arial"/>
          <w:b w:val="0"/>
          <w:color w:val="54575A" w:themeColor="text1"/>
          <w:szCs w:val="20"/>
        </w:rPr>
        <w:lastRenderedPageBreak/>
        <w:t>When conducting a physical examination, good medical practice involves:</w:t>
      </w:r>
    </w:p>
    <w:p w:rsidR="0040306F" w:rsidRPr="006C0F69" w:rsidRDefault="0040306F" w:rsidP="0049777A">
      <w:pPr>
        <w:numPr>
          <w:ilvl w:val="0"/>
          <w:numId w:val="34"/>
        </w:numPr>
        <w:spacing w:before="200" w:after="200" w:line="240" w:lineRule="auto"/>
        <w:ind w:left="709" w:hanging="345"/>
        <w:rPr>
          <w:rFonts w:cs="Arial"/>
          <w:color w:val="54575A" w:themeColor="text1"/>
          <w:sz w:val="20"/>
          <w:szCs w:val="20"/>
        </w:rPr>
      </w:pPr>
      <w:r w:rsidRPr="006C0F69">
        <w:rPr>
          <w:rFonts w:cs="Arial"/>
          <w:color w:val="54575A" w:themeColor="text1"/>
          <w:sz w:val="20"/>
          <w:szCs w:val="20"/>
        </w:rPr>
        <w:t>being aware of any sign the patient has withdrawn consent</w:t>
      </w:r>
    </w:p>
    <w:p w:rsidR="0040306F" w:rsidRPr="006C0F69" w:rsidRDefault="0040306F" w:rsidP="0049777A">
      <w:pPr>
        <w:numPr>
          <w:ilvl w:val="0"/>
          <w:numId w:val="34"/>
        </w:numPr>
        <w:spacing w:before="200" w:after="200" w:line="240" w:lineRule="auto"/>
        <w:ind w:left="709" w:hanging="345"/>
        <w:rPr>
          <w:rFonts w:cs="Arial"/>
          <w:color w:val="54575A" w:themeColor="text1"/>
          <w:sz w:val="20"/>
          <w:szCs w:val="20"/>
        </w:rPr>
      </w:pPr>
      <w:r w:rsidRPr="006C0F69">
        <w:rPr>
          <w:rFonts w:cs="Arial"/>
          <w:color w:val="54575A" w:themeColor="text1"/>
          <w:sz w:val="20"/>
          <w:szCs w:val="20"/>
        </w:rPr>
        <w:t>not continuing with an examination when consent is uncertain, has been refused or has been withdrawn</w:t>
      </w:r>
    </w:p>
    <w:p w:rsidR="0040306F" w:rsidRPr="006C0F69" w:rsidRDefault="0040306F" w:rsidP="0049777A">
      <w:pPr>
        <w:numPr>
          <w:ilvl w:val="0"/>
          <w:numId w:val="34"/>
        </w:numPr>
        <w:spacing w:before="200" w:after="200" w:line="240" w:lineRule="auto"/>
        <w:ind w:left="709" w:hanging="345"/>
        <w:rPr>
          <w:rFonts w:cs="Arial"/>
          <w:color w:val="54575A" w:themeColor="text1"/>
          <w:sz w:val="20"/>
          <w:szCs w:val="20"/>
        </w:rPr>
      </w:pPr>
      <w:r w:rsidRPr="006C0F69">
        <w:rPr>
          <w:rFonts w:cs="Arial"/>
          <w:color w:val="54575A" w:themeColor="text1"/>
          <w:sz w:val="20"/>
          <w:szCs w:val="20"/>
        </w:rPr>
        <w:t>allowing the patient to undress and dress in private. A doctor should not assist a patient to undress or dress unless the patient is having difficulty and asks for assistance</w:t>
      </w:r>
    </w:p>
    <w:p w:rsidR="0040306F" w:rsidRPr="006C0F69" w:rsidRDefault="0040306F" w:rsidP="0049777A">
      <w:pPr>
        <w:numPr>
          <w:ilvl w:val="0"/>
          <w:numId w:val="34"/>
        </w:numPr>
        <w:spacing w:before="200" w:after="200" w:line="240" w:lineRule="auto"/>
        <w:ind w:left="709" w:hanging="345"/>
        <w:rPr>
          <w:rFonts w:cs="Arial"/>
          <w:color w:val="54575A" w:themeColor="text1"/>
          <w:sz w:val="20"/>
          <w:szCs w:val="20"/>
        </w:rPr>
      </w:pPr>
      <w:r w:rsidRPr="006C0F69">
        <w:rPr>
          <w:rFonts w:cs="Arial"/>
          <w:color w:val="54575A" w:themeColor="text1"/>
          <w:sz w:val="20"/>
          <w:szCs w:val="20"/>
        </w:rPr>
        <w:t>providing suitable covering during an examination so that the patient is covered as much as possible, to maintain their dignity</w:t>
      </w:r>
    </w:p>
    <w:p w:rsidR="0040306F" w:rsidRPr="006C0F69" w:rsidRDefault="0040306F" w:rsidP="0049777A">
      <w:pPr>
        <w:numPr>
          <w:ilvl w:val="0"/>
          <w:numId w:val="34"/>
        </w:numPr>
        <w:spacing w:before="200" w:after="200" w:line="240" w:lineRule="auto"/>
        <w:ind w:left="709" w:hanging="345"/>
        <w:rPr>
          <w:rFonts w:cs="Arial"/>
          <w:color w:val="54575A" w:themeColor="text1"/>
          <w:sz w:val="20"/>
          <w:szCs w:val="20"/>
        </w:rPr>
      </w:pPr>
      <w:r w:rsidRPr="006C0F69">
        <w:rPr>
          <w:rFonts w:cs="Arial"/>
          <w:color w:val="54575A" w:themeColor="text1"/>
          <w:sz w:val="20"/>
          <w:szCs w:val="20"/>
        </w:rPr>
        <w:t>using gloves when examining genitals or conducting internal examinations</w:t>
      </w:r>
    </w:p>
    <w:p w:rsidR="0040306F" w:rsidRPr="006C0F69" w:rsidRDefault="0040306F" w:rsidP="0049777A">
      <w:pPr>
        <w:numPr>
          <w:ilvl w:val="0"/>
          <w:numId w:val="34"/>
        </w:numPr>
        <w:spacing w:before="200" w:after="200" w:line="240" w:lineRule="auto"/>
        <w:ind w:left="709" w:hanging="345"/>
        <w:rPr>
          <w:rFonts w:cs="Arial"/>
          <w:color w:val="54575A" w:themeColor="text1"/>
          <w:sz w:val="20"/>
          <w:szCs w:val="20"/>
        </w:rPr>
      </w:pPr>
      <w:r w:rsidRPr="006C0F69">
        <w:rPr>
          <w:rFonts w:cs="Arial"/>
          <w:color w:val="54575A" w:themeColor="text1"/>
          <w:sz w:val="20"/>
          <w:szCs w:val="20"/>
        </w:rPr>
        <w:t>not allowing the patient to remain undressed for any longer than is needed for the examination</w:t>
      </w:r>
    </w:p>
    <w:p w:rsidR="0040306F" w:rsidRPr="006C0F69" w:rsidRDefault="0040306F" w:rsidP="0049777A">
      <w:pPr>
        <w:numPr>
          <w:ilvl w:val="0"/>
          <w:numId w:val="34"/>
        </w:numPr>
        <w:spacing w:before="200" w:after="200" w:line="240" w:lineRule="auto"/>
        <w:ind w:left="709" w:hanging="345"/>
        <w:rPr>
          <w:rFonts w:cs="Arial"/>
          <w:color w:val="54575A" w:themeColor="text1"/>
          <w:sz w:val="20"/>
          <w:szCs w:val="20"/>
        </w:rPr>
      </w:pPr>
      <w:r w:rsidRPr="006C0F69">
        <w:rPr>
          <w:rFonts w:cs="Arial"/>
          <w:color w:val="54575A" w:themeColor="text1"/>
          <w:sz w:val="20"/>
          <w:szCs w:val="20"/>
        </w:rPr>
        <w:t>obtaining the patient’s permission if medical students or anyone else is to be present during an examination or consultation</w:t>
      </w:r>
    </w:p>
    <w:p w:rsidR="0040306F" w:rsidRPr="006C0F69" w:rsidRDefault="0040306F" w:rsidP="0049777A">
      <w:pPr>
        <w:numPr>
          <w:ilvl w:val="0"/>
          <w:numId w:val="34"/>
        </w:numPr>
        <w:spacing w:before="200" w:after="200" w:line="240" w:lineRule="auto"/>
        <w:ind w:left="709" w:hanging="345"/>
        <w:rPr>
          <w:rFonts w:cs="Arial"/>
          <w:color w:val="54575A" w:themeColor="text1"/>
          <w:sz w:val="20"/>
          <w:szCs w:val="20"/>
        </w:rPr>
      </w:pPr>
      <w:r w:rsidRPr="006C0F69">
        <w:rPr>
          <w:rFonts w:cs="Arial"/>
          <w:color w:val="54575A" w:themeColor="text1"/>
          <w:sz w:val="20"/>
          <w:szCs w:val="20"/>
        </w:rPr>
        <w:t>allowing a patient to bring a support person who may be a parent, carer, guardian, spouse, family member or friend.</w:t>
      </w:r>
    </w:p>
    <w:p w:rsidR="0040306F" w:rsidRPr="00750FC0" w:rsidRDefault="0040306F" w:rsidP="00750FC0">
      <w:pPr>
        <w:pStyle w:val="AHPRAbodytext"/>
        <w:numPr>
          <w:ilvl w:val="1"/>
          <w:numId w:val="16"/>
        </w:numPr>
        <w:rPr>
          <w:b/>
          <w:color w:val="54575A" w:themeColor="text1"/>
        </w:rPr>
      </w:pPr>
      <w:r w:rsidRPr="00750FC0">
        <w:rPr>
          <w:b/>
          <w:color w:val="54575A" w:themeColor="text1"/>
        </w:rPr>
        <w:t>Use of observers</w:t>
      </w:r>
    </w:p>
    <w:p w:rsidR="0040306F" w:rsidRPr="006E2E83" w:rsidRDefault="0040306F" w:rsidP="00750FC0">
      <w:pPr>
        <w:pStyle w:val="AHPRASubhead"/>
        <w:spacing w:before="200"/>
        <w:ind w:left="274"/>
        <w:rPr>
          <w:rFonts w:asciiTheme="minorHAnsi" w:eastAsiaTheme="minorHAnsi" w:hAnsiTheme="minorHAnsi" w:cs="Arial"/>
          <w:b w:val="0"/>
          <w:color w:val="54575A" w:themeColor="text1"/>
          <w:szCs w:val="20"/>
          <w:lang w:val="en-AU"/>
        </w:rPr>
      </w:pPr>
      <w:r w:rsidRPr="006E2E83">
        <w:rPr>
          <w:rFonts w:asciiTheme="minorHAnsi" w:eastAsiaTheme="minorHAnsi" w:hAnsiTheme="minorHAnsi" w:cs="Arial"/>
          <w:b w:val="0"/>
          <w:color w:val="54575A" w:themeColor="text1"/>
          <w:szCs w:val="20"/>
          <w:lang w:val="en-AU"/>
        </w:rPr>
        <w:t>Patients may find intimate examinations stressful and embarrassing. The definition of an intimate examination</w:t>
      </w:r>
      <w:r w:rsidRPr="00837CD3">
        <w:rPr>
          <w:rFonts w:asciiTheme="minorHAnsi" w:eastAsiaTheme="minorHAnsi" w:hAnsiTheme="minorHAnsi"/>
          <w:b w:val="0"/>
          <w:color w:val="54575A" w:themeColor="text1"/>
          <w:vertAlign w:val="superscript"/>
          <w:lang w:val="en-AU"/>
        </w:rPr>
        <w:footnoteReference w:id="9"/>
      </w:r>
      <w:r w:rsidRPr="006E2E83">
        <w:rPr>
          <w:rFonts w:asciiTheme="minorHAnsi" w:eastAsiaTheme="minorHAnsi" w:hAnsiTheme="minorHAnsi" w:cs="Arial"/>
          <w:b w:val="0"/>
          <w:color w:val="54575A" w:themeColor="text1"/>
          <w:szCs w:val="20"/>
          <w:lang w:val="en-AU"/>
        </w:rPr>
        <w:t xml:space="preserve"> depends on the patient’s perspective, which may be affected by cultural values and beliefs. Intimate examinations usually include examination of the breasts, genitalia or an internal examination. Doctors should be sensitive and respectful of a patient’s views when discussing the reasons for an intimate examination and should ensure the patient’s comfort, dignity and privacy when conducting an intimate examination.</w:t>
      </w:r>
    </w:p>
    <w:p w:rsidR="0040306F" w:rsidRPr="006E2E83" w:rsidRDefault="0040306F" w:rsidP="0049777A">
      <w:pPr>
        <w:pStyle w:val="AHPRASubhead"/>
        <w:spacing w:before="200"/>
        <w:ind w:left="284"/>
        <w:rPr>
          <w:rFonts w:asciiTheme="minorHAnsi" w:eastAsiaTheme="minorHAnsi" w:hAnsiTheme="minorHAnsi" w:cs="Arial"/>
          <w:b w:val="0"/>
          <w:color w:val="54575A" w:themeColor="text1"/>
          <w:szCs w:val="20"/>
          <w:lang w:val="en-AU"/>
        </w:rPr>
      </w:pPr>
      <w:r w:rsidRPr="006E2E83">
        <w:rPr>
          <w:rFonts w:asciiTheme="minorHAnsi" w:eastAsiaTheme="minorHAnsi" w:hAnsiTheme="minorHAnsi" w:cs="Arial"/>
          <w:b w:val="0"/>
          <w:color w:val="54575A" w:themeColor="text1"/>
          <w:szCs w:val="20"/>
          <w:lang w:val="en-AU"/>
        </w:rPr>
        <w:t xml:space="preserve">A doctor may choose to have an observer present during an intimate examination of a patient or in any consultation. The observer is essentially a witness to the consultation and may be a registered nurse employed in the practice. An observer can provide an account of the consultation if later there is an allegation of improper behaviour. Their presence may also provide a level of comfort for the patient. </w:t>
      </w:r>
    </w:p>
    <w:p w:rsidR="0040306F" w:rsidRPr="006E2E83" w:rsidRDefault="0040306F" w:rsidP="0049777A">
      <w:pPr>
        <w:pStyle w:val="AHPRASubhead"/>
        <w:spacing w:before="200"/>
        <w:ind w:left="378"/>
        <w:rPr>
          <w:rFonts w:asciiTheme="minorHAnsi" w:eastAsiaTheme="minorHAnsi" w:hAnsiTheme="minorHAnsi" w:cs="Arial"/>
          <w:b w:val="0"/>
          <w:color w:val="54575A" w:themeColor="text1"/>
          <w:szCs w:val="20"/>
          <w:lang w:val="en-AU"/>
        </w:rPr>
      </w:pPr>
      <w:r w:rsidRPr="006E2E83">
        <w:rPr>
          <w:rFonts w:asciiTheme="minorHAnsi" w:eastAsiaTheme="minorHAnsi" w:hAnsiTheme="minorHAnsi" w:cs="Arial"/>
          <w:b w:val="0"/>
          <w:color w:val="54575A" w:themeColor="text1"/>
          <w:szCs w:val="20"/>
          <w:lang w:val="en-AU"/>
        </w:rPr>
        <w:t>A patient has the right to decline having an observer present. In that case, the doctor can proceed with the consultation without the observer, or choose not to proceed and instead help the patient to find another doctor. The patient has the right to ask to be accompanied by a support person of their choice.</w:t>
      </w:r>
    </w:p>
    <w:p w:rsidR="0040306F" w:rsidRPr="00A11E78" w:rsidRDefault="0040306F" w:rsidP="006C0F69">
      <w:pPr>
        <w:pStyle w:val="AHPRASubheading"/>
        <w:numPr>
          <w:ilvl w:val="0"/>
          <w:numId w:val="16"/>
        </w:numPr>
        <w:rPr>
          <w:sz w:val="24"/>
          <w:lang w:val="en-US"/>
        </w:rPr>
      </w:pPr>
      <w:r w:rsidRPr="00A11E78">
        <w:rPr>
          <w:sz w:val="24"/>
          <w:lang w:val="en-US"/>
        </w:rPr>
        <w:t>Social media</w:t>
      </w:r>
    </w:p>
    <w:p w:rsidR="0040306F" w:rsidRPr="008A5812" w:rsidRDefault="0040306F" w:rsidP="0049777A">
      <w:pPr>
        <w:pStyle w:val="AHPRASubhead"/>
        <w:spacing w:before="200"/>
        <w:ind w:left="392"/>
        <w:rPr>
          <w:rFonts w:cs="Arial"/>
          <w:b w:val="0"/>
          <w:color w:val="54575A" w:themeColor="text1"/>
          <w:szCs w:val="20"/>
        </w:rPr>
      </w:pPr>
      <w:r w:rsidRPr="008A5812">
        <w:rPr>
          <w:rFonts w:cs="Arial"/>
          <w:b w:val="0"/>
          <w:color w:val="54575A" w:themeColor="text1"/>
          <w:szCs w:val="20"/>
        </w:rPr>
        <w:t xml:space="preserve">The principles in </w:t>
      </w:r>
      <w:r w:rsidRPr="008A5812">
        <w:rPr>
          <w:rFonts w:cs="Arial"/>
          <w:b w:val="0"/>
          <w:i/>
          <w:color w:val="54575A" w:themeColor="text1"/>
          <w:szCs w:val="20"/>
        </w:rPr>
        <w:t>Good medical practice</w:t>
      </w:r>
      <w:r w:rsidRPr="008A5812">
        <w:rPr>
          <w:rFonts w:cs="Arial"/>
          <w:b w:val="0"/>
          <w:color w:val="54575A" w:themeColor="text1"/>
          <w:szCs w:val="20"/>
        </w:rPr>
        <w:t xml:space="preserve"> apply to the use of social media as well as to face-to-face consultations with patients. The Board expects doctors to maintain professional boundaries when using social media to communicate with patients. Doctors must not use social media to pursue a sexual, exploitative or other inappropriate relationship with a patient. </w:t>
      </w:r>
    </w:p>
    <w:p w:rsidR="0040306F" w:rsidRPr="008A5812" w:rsidRDefault="0040306F" w:rsidP="0049777A">
      <w:pPr>
        <w:pStyle w:val="AHPRASubhead"/>
        <w:spacing w:before="200"/>
        <w:ind w:left="392"/>
        <w:rPr>
          <w:rFonts w:cs="Arial"/>
          <w:b w:val="0"/>
          <w:color w:val="54575A" w:themeColor="text1"/>
          <w:szCs w:val="20"/>
        </w:rPr>
      </w:pPr>
      <w:r w:rsidRPr="008A5812">
        <w:rPr>
          <w:rFonts w:cs="Arial"/>
          <w:b w:val="0"/>
          <w:color w:val="54575A" w:themeColor="text1"/>
          <w:szCs w:val="20"/>
        </w:rPr>
        <w:t>If a patient tries to engage with a doctor through social media about matters outside the professional relationship, the doctor should politely decline to interact with them and direct them instead to the doctor’s usual professional health care communication channels.</w:t>
      </w:r>
    </w:p>
    <w:p w:rsidR="0040306F" w:rsidRPr="008A5812" w:rsidRDefault="0040306F" w:rsidP="0049777A">
      <w:pPr>
        <w:pStyle w:val="AHPRASubhead"/>
        <w:spacing w:before="200"/>
        <w:ind w:left="392"/>
        <w:rPr>
          <w:rFonts w:cs="Arial"/>
          <w:b w:val="0"/>
          <w:color w:val="54575A" w:themeColor="text1"/>
          <w:szCs w:val="20"/>
        </w:rPr>
      </w:pPr>
      <w:r w:rsidRPr="008A5812">
        <w:rPr>
          <w:rFonts w:cs="Arial"/>
          <w:b w:val="0"/>
          <w:color w:val="54575A" w:themeColor="text1"/>
          <w:szCs w:val="20"/>
        </w:rPr>
        <w:t xml:space="preserve">For more information, the Board’s Social Media policy is accessible from </w:t>
      </w:r>
      <w:hyperlink r:id="rId21" w:history="1">
        <w:r w:rsidRPr="00A11E78">
          <w:rPr>
            <w:b w:val="0"/>
            <w:color w:val="54575A" w:themeColor="text1"/>
            <w:u w:val="single"/>
          </w:rPr>
          <w:t>www.medicalboard.gov.au</w:t>
        </w:r>
      </w:hyperlink>
      <w:r w:rsidRPr="008A5812">
        <w:rPr>
          <w:rFonts w:cs="Arial"/>
          <w:b w:val="0"/>
          <w:color w:val="54575A" w:themeColor="text1"/>
          <w:szCs w:val="20"/>
        </w:rPr>
        <w:t>.</w:t>
      </w:r>
    </w:p>
    <w:p w:rsidR="0040306F" w:rsidRPr="00A11E78" w:rsidRDefault="0040306F" w:rsidP="006C0F69">
      <w:pPr>
        <w:pStyle w:val="AHPRASubheading"/>
        <w:numPr>
          <w:ilvl w:val="0"/>
          <w:numId w:val="16"/>
        </w:numPr>
        <w:rPr>
          <w:sz w:val="24"/>
          <w:lang w:val="en-US"/>
        </w:rPr>
      </w:pPr>
      <w:r w:rsidRPr="00A11E78">
        <w:rPr>
          <w:sz w:val="24"/>
          <w:lang w:val="en-US"/>
        </w:rPr>
        <w:t>Obligation to report allegations of sexual misconduct</w:t>
      </w:r>
    </w:p>
    <w:p w:rsidR="0040306F" w:rsidRPr="006C0F69" w:rsidRDefault="0040306F" w:rsidP="0049777A">
      <w:pPr>
        <w:pStyle w:val="AHPRASubhead"/>
        <w:spacing w:before="200"/>
        <w:ind w:left="392"/>
        <w:rPr>
          <w:rFonts w:cs="Arial"/>
          <w:b w:val="0"/>
          <w:color w:val="54575A" w:themeColor="text1"/>
          <w:szCs w:val="20"/>
        </w:rPr>
      </w:pPr>
      <w:r w:rsidRPr="006C0F69">
        <w:rPr>
          <w:rFonts w:cs="Arial"/>
          <w:b w:val="0"/>
          <w:color w:val="54575A" w:themeColor="text1"/>
          <w:szCs w:val="20"/>
        </w:rPr>
        <w:t>The National Law requires registered health practitioners, employers and education providers to report ‘notifiable conduct’ to AHPRA (or the relevant authority in a co-regulatory jurisdiction), to prevent the public being placed at risk of harm</w:t>
      </w:r>
      <w:r w:rsidRPr="006C0F69">
        <w:rPr>
          <w:rStyle w:val="FootnoteReference"/>
          <w:rFonts w:cs="Arial"/>
          <w:b w:val="0"/>
          <w:color w:val="54575A" w:themeColor="text1"/>
          <w:szCs w:val="20"/>
        </w:rPr>
        <w:footnoteReference w:id="10"/>
      </w:r>
      <w:r w:rsidRPr="006C0F69">
        <w:rPr>
          <w:rFonts w:cs="Arial"/>
          <w:b w:val="0"/>
          <w:color w:val="54575A" w:themeColor="text1"/>
          <w:szCs w:val="20"/>
        </w:rPr>
        <w:t>.</w:t>
      </w:r>
    </w:p>
    <w:p w:rsidR="0040306F" w:rsidRPr="006C0F69" w:rsidRDefault="0040306F" w:rsidP="0049777A">
      <w:pPr>
        <w:pStyle w:val="AHPRASubhead"/>
        <w:spacing w:before="200"/>
        <w:ind w:left="392"/>
        <w:rPr>
          <w:rFonts w:cs="Arial"/>
          <w:b w:val="0"/>
          <w:color w:val="54575A" w:themeColor="text1"/>
          <w:szCs w:val="20"/>
        </w:rPr>
      </w:pPr>
      <w:r w:rsidRPr="006C0F69">
        <w:rPr>
          <w:rFonts w:cs="Arial"/>
          <w:b w:val="0"/>
          <w:color w:val="54575A" w:themeColor="text1"/>
          <w:szCs w:val="20"/>
        </w:rPr>
        <w:t>‘Notifiable conduct’ includes engaging in sexual misconduct in connection with the practice of the profession. This means engaging in sexual misconduct with individuals under a doctor’s care or linked to a doctor’s practice of their profession.</w:t>
      </w:r>
    </w:p>
    <w:p w:rsidR="0040306F" w:rsidRPr="006C0F69" w:rsidRDefault="0040306F" w:rsidP="0049777A">
      <w:pPr>
        <w:pStyle w:val="AHPRASubhead"/>
        <w:spacing w:before="200"/>
        <w:ind w:left="364"/>
        <w:rPr>
          <w:rFonts w:cs="Arial"/>
          <w:b w:val="0"/>
          <w:color w:val="54575A" w:themeColor="text1"/>
          <w:szCs w:val="20"/>
        </w:rPr>
      </w:pPr>
      <w:r w:rsidRPr="006C0F69">
        <w:rPr>
          <w:rFonts w:cs="Arial"/>
          <w:b w:val="0"/>
          <w:color w:val="54575A" w:themeColor="text1"/>
          <w:szCs w:val="20"/>
        </w:rPr>
        <w:t xml:space="preserve">Mandatory notification requirements aim to prevent the public being placed at risk of harm. The law requires health practitioners to notify AHPRA (or the relevant authority in a co-regulatory jurisdiction) if they believe that another health practitioner has behaved in a way which presents a serious risk to the public. </w:t>
      </w:r>
      <w:r w:rsidRPr="006C0F69">
        <w:rPr>
          <w:rFonts w:cs="Arial"/>
          <w:b w:val="0"/>
          <w:color w:val="54575A" w:themeColor="text1"/>
          <w:szCs w:val="20"/>
        </w:rPr>
        <w:lastRenderedPageBreak/>
        <w:t>Health practitioners also have a professional and ethical obligation to protect and promote public health and safety and may therefore make a voluntary notification.</w:t>
      </w:r>
    </w:p>
    <w:p w:rsidR="0040306F" w:rsidRDefault="0040306F" w:rsidP="0049777A">
      <w:pPr>
        <w:pStyle w:val="AHPRASubhead"/>
        <w:spacing w:before="200"/>
        <w:ind w:left="364"/>
        <w:rPr>
          <w:rFonts w:cs="Arial"/>
          <w:b w:val="0"/>
          <w:color w:val="54575A" w:themeColor="text1"/>
          <w:szCs w:val="20"/>
        </w:rPr>
      </w:pPr>
      <w:r w:rsidRPr="006C0F69">
        <w:rPr>
          <w:rFonts w:cs="Arial"/>
          <w:b w:val="0"/>
          <w:color w:val="54575A" w:themeColor="text1"/>
          <w:szCs w:val="20"/>
        </w:rPr>
        <w:t xml:space="preserve">For more information about the obligations of health practitioners, employers and education providers to report ’notifiable conduct’, refer to the Board’s </w:t>
      </w:r>
      <w:r w:rsidRPr="006C0F69">
        <w:rPr>
          <w:rFonts w:cs="Arial"/>
          <w:b w:val="0"/>
          <w:i/>
          <w:color w:val="54575A" w:themeColor="text1"/>
          <w:szCs w:val="20"/>
        </w:rPr>
        <w:t>Guidelines for mandatory notifications</w:t>
      </w:r>
      <w:r w:rsidRPr="006C0F69">
        <w:rPr>
          <w:rFonts w:cs="Arial"/>
          <w:b w:val="0"/>
          <w:color w:val="54575A" w:themeColor="text1"/>
          <w:szCs w:val="20"/>
        </w:rPr>
        <w:t xml:space="preserve"> accessible from </w:t>
      </w:r>
      <w:hyperlink r:id="rId22" w:history="1">
        <w:r w:rsidRPr="006C0F69">
          <w:rPr>
            <w:rStyle w:val="Hyperlink"/>
            <w:rFonts w:cs="Arial"/>
            <w:b w:val="0"/>
            <w:color w:val="54575A" w:themeColor="text1"/>
            <w:szCs w:val="20"/>
          </w:rPr>
          <w:t>www.medicalboard.gov.au</w:t>
        </w:r>
      </w:hyperlink>
      <w:r w:rsidRPr="006C0F69">
        <w:rPr>
          <w:rFonts w:cs="Arial"/>
          <w:b w:val="0"/>
          <w:color w:val="54575A" w:themeColor="text1"/>
          <w:szCs w:val="20"/>
        </w:rPr>
        <w:t>.</w:t>
      </w:r>
    </w:p>
    <w:p w:rsidR="004B00EA" w:rsidRPr="00CB4590" w:rsidRDefault="004B00EA" w:rsidP="004B00EA">
      <w:pPr>
        <w:pStyle w:val="Heading2"/>
        <w:spacing w:after="200" w:line="240" w:lineRule="auto"/>
        <w:rPr>
          <w:rFonts w:ascii="Arial" w:eastAsia="Cambria" w:hAnsi="Arial" w:cs="Times New Roman"/>
          <w:bCs w:val="0"/>
          <w:color w:val="008EC4"/>
          <w:sz w:val="28"/>
          <w:szCs w:val="24"/>
        </w:rPr>
      </w:pPr>
      <w:r w:rsidRPr="00837CD3">
        <w:rPr>
          <w:rFonts w:ascii="Arial" w:eastAsia="Cambria" w:hAnsi="Arial" w:cs="Times New Roman"/>
          <w:bCs w:val="0"/>
          <w:color w:val="54575A" w:themeColor="text1"/>
          <w:sz w:val="32"/>
          <w:szCs w:val="24"/>
        </w:rPr>
        <w:t>How will the Board use these guidelines?</w:t>
      </w:r>
    </w:p>
    <w:p w:rsidR="004B00EA" w:rsidRPr="00CB4590" w:rsidRDefault="004B00EA" w:rsidP="004B00EA">
      <w:pPr>
        <w:spacing w:line="240" w:lineRule="auto"/>
        <w:rPr>
          <w:rFonts w:ascii="Arial" w:hAnsi="Arial" w:cs="Arial"/>
          <w:color w:val="54575A" w:themeColor="text1"/>
          <w:sz w:val="20"/>
          <w:szCs w:val="20"/>
        </w:rPr>
      </w:pPr>
      <w:r w:rsidRPr="00CB4590">
        <w:rPr>
          <w:rFonts w:ascii="Arial" w:hAnsi="Arial" w:cs="Arial"/>
          <w:color w:val="54575A" w:themeColor="text1"/>
          <w:sz w:val="20"/>
          <w:szCs w:val="20"/>
        </w:rPr>
        <w:t>Section 41 of the National Law states that an approved registration standard, or a code or guideline approved by the Board, is admissible as evidence of what constitutes appropriate professional conduct or practice of the profession, in proceedings against a registered health practitioner under this law or a law of a co-regulatory jurisdiction.</w:t>
      </w:r>
    </w:p>
    <w:p w:rsidR="004B00EA" w:rsidRPr="00CB4590" w:rsidRDefault="004B00EA" w:rsidP="004B00EA">
      <w:pPr>
        <w:spacing w:line="240" w:lineRule="auto"/>
        <w:rPr>
          <w:rFonts w:ascii="Arial" w:hAnsi="Arial" w:cs="Arial"/>
          <w:color w:val="54575A" w:themeColor="text1"/>
          <w:sz w:val="20"/>
          <w:szCs w:val="20"/>
        </w:rPr>
      </w:pPr>
      <w:r w:rsidRPr="00CB4590">
        <w:rPr>
          <w:rFonts w:ascii="Arial" w:hAnsi="Arial" w:cs="Arial"/>
          <w:color w:val="54575A" w:themeColor="text1"/>
          <w:sz w:val="20"/>
          <w:szCs w:val="20"/>
        </w:rPr>
        <w:t>The Board or the relevant authority in a co-regulatory jurisdiction will investigate a doctor who is alleged to have breached these guidelines. If the allegations are substantiated, the Board or the relevant authority in a co-regulatory jurisdiction will take action to protect the public.</w:t>
      </w:r>
    </w:p>
    <w:p w:rsidR="00B6012E" w:rsidRPr="00837CD3" w:rsidRDefault="00B6012E" w:rsidP="00B6012E">
      <w:pPr>
        <w:pStyle w:val="Heading2"/>
        <w:spacing w:after="200" w:line="240" w:lineRule="auto"/>
        <w:rPr>
          <w:rFonts w:ascii="Arial" w:eastAsia="Cambria" w:hAnsi="Arial" w:cs="Times New Roman"/>
          <w:bCs w:val="0"/>
          <w:color w:val="54575A" w:themeColor="text1"/>
          <w:sz w:val="32"/>
          <w:szCs w:val="24"/>
        </w:rPr>
      </w:pPr>
      <w:r w:rsidRPr="00837CD3">
        <w:rPr>
          <w:rFonts w:ascii="Arial" w:eastAsia="Cambria" w:hAnsi="Arial" w:cs="Times New Roman"/>
          <w:bCs w:val="0"/>
          <w:color w:val="54575A" w:themeColor="text1"/>
          <w:sz w:val="32"/>
          <w:szCs w:val="24"/>
        </w:rPr>
        <w:t>Definitions</w:t>
      </w:r>
    </w:p>
    <w:p w:rsidR="00B6012E" w:rsidRPr="00A23C60" w:rsidRDefault="00B6012E" w:rsidP="00B6012E">
      <w:pPr>
        <w:spacing w:after="0" w:line="240" w:lineRule="auto"/>
        <w:rPr>
          <w:rFonts w:ascii="Arial" w:hAnsi="Arial" w:cs="Arial"/>
          <w:color w:val="3E4043" w:themeColor="text1" w:themeShade="BF"/>
          <w:sz w:val="20"/>
          <w:szCs w:val="20"/>
        </w:rPr>
      </w:pPr>
      <w:r w:rsidRPr="00A23C60">
        <w:rPr>
          <w:rFonts w:ascii="Arial" w:hAnsi="Arial" w:cs="Arial"/>
          <w:b/>
          <w:color w:val="3E4043" w:themeColor="text1" w:themeShade="BF"/>
          <w:sz w:val="20"/>
          <w:szCs w:val="20"/>
        </w:rPr>
        <w:t xml:space="preserve">AHPRA </w:t>
      </w:r>
      <w:r w:rsidRPr="00A23C60">
        <w:rPr>
          <w:rFonts w:ascii="Arial" w:hAnsi="Arial" w:cs="Arial"/>
          <w:color w:val="3E4043" w:themeColor="text1" w:themeShade="BF"/>
          <w:sz w:val="20"/>
          <w:szCs w:val="20"/>
        </w:rPr>
        <w:t>means the Australian Health Practitioner Regulation Agency.</w:t>
      </w:r>
    </w:p>
    <w:p w:rsidR="00B6012E" w:rsidRPr="00A23C60" w:rsidRDefault="00B6012E" w:rsidP="00B6012E">
      <w:pPr>
        <w:spacing w:after="0" w:line="240" w:lineRule="auto"/>
        <w:rPr>
          <w:rFonts w:ascii="Arial" w:hAnsi="Arial" w:cs="Arial"/>
          <w:b/>
          <w:i/>
          <w:color w:val="3E4043" w:themeColor="text1" w:themeShade="BF"/>
          <w:sz w:val="20"/>
          <w:szCs w:val="20"/>
        </w:rPr>
      </w:pPr>
    </w:p>
    <w:p w:rsidR="00B6012E" w:rsidRPr="00A23C60" w:rsidRDefault="00B6012E" w:rsidP="00B6012E">
      <w:pPr>
        <w:spacing w:after="0" w:line="240" w:lineRule="auto"/>
        <w:rPr>
          <w:rFonts w:ascii="Arial" w:hAnsi="Arial" w:cs="Arial"/>
          <w:color w:val="3E4043" w:themeColor="text1" w:themeShade="BF"/>
          <w:sz w:val="20"/>
          <w:szCs w:val="20"/>
        </w:rPr>
      </w:pPr>
      <w:r w:rsidRPr="00A23C60">
        <w:rPr>
          <w:rFonts w:ascii="Arial" w:hAnsi="Arial" w:cs="Arial"/>
          <w:b/>
          <w:color w:val="3E4043" w:themeColor="text1" w:themeShade="BF"/>
          <w:sz w:val="20"/>
          <w:szCs w:val="20"/>
        </w:rPr>
        <w:t>Intimate examination</w:t>
      </w:r>
      <w:r w:rsidRPr="00A23C60">
        <w:rPr>
          <w:rFonts w:ascii="Arial" w:hAnsi="Arial" w:cs="Arial"/>
          <w:color w:val="3E4043" w:themeColor="text1" w:themeShade="BF"/>
          <w:sz w:val="20"/>
          <w:szCs w:val="20"/>
        </w:rPr>
        <w:t xml:space="preserve"> means an examination that a patient or a member of the public may reasonably regard as intimate, which usually means examination of the breasts, genitals or an internal examination.</w:t>
      </w:r>
    </w:p>
    <w:p w:rsidR="00B6012E" w:rsidRPr="00A23C60" w:rsidRDefault="00B6012E" w:rsidP="00B6012E">
      <w:pPr>
        <w:spacing w:after="0" w:line="240" w:lineRule="auto"/>
        <w:rPr>
          <w:rFonts w:ascii="Arial" w:hAnsi="Arial" w:cs="Arial"/>
          <w:color w:val="3E4043" w:themeColor="text1" w:themeShade="BF"/>
          <w:sz w:val="20"/>
          <w:szCs w:val="20"/>
        </w:rPr>
      </w:pPr>
    </w:p>
    <w:p w:rsidR="00B6012E" w:rsidRPr="00A23C60" w:rsidRDefault="00B6012E" w:rsidP="00B6012E">
      <w:pPr>
        <w:spacing w:after="0" w:line="240" w:lineRule="auto"/>
        <w:rPr>
          <w:rFonts w:ascii="Arial" w:hAnsi="Arial" w:cs="Arial"/>
          <w:color w:val="3E4043" w:themeColor="text1" w:themeShade="BF"/>
          <w:sz w:val="20"/>
          <w:szCs w:val="20"/>
        </w:rPr>
      </w:pPr>
      <w:r w:rsidRPr="00A23C60">
        <w:rPr>
          <w:rFonts w:ascii="Arial" w:hAnsi="Arial" w:cs="Arial"/>
          <w:b/>
          <w:color w:val="3E4043" w:themeColor="text1" w:themeShade="BF"/>
          <w:sz w:val="20"/>
          <w:szCs w:val="20"/>
        </w:rPr>
        <w:t>National Law</w:t>
      </w:r>
      <w:r w:rsidRPr="00A23C60">
        <w:rPr>
          <w:rFonts w:ascii="Arial" w:hAnsi="Arial" w:cs="Arial"/>
          <w:color w:val="3E4043" w:themeColor="text1" w:themeShade="BF"/>
          <w:sz w:val="20"/>
          <w:szCs w:val="20"/>
        </w:rPr>
        <w:t xml:space="preserve"> means the Health Practitioner Regulation National Law as in force in each state and territory.</w:t>
      </w:r>
    </w:p>
    <w:p w:rsidR="00B6012E" w:rsidRPr="00A23C60" w:rsidRDefault="00B6012E" w:rsidP="00B6012E">
      <w:pPr>
        <w:spacing w:after="0" w:line="240" w:lineRule="auto"/>
        <w:rPr>
          <w:rFonts w:ascii="Arial" w:hAnsi="Arial" w:cs="Arial"/>
          <w:color w:val="3E4043" w:themeColor="text1" w:themeShade="BF"/>
          <w:sz w:val="20"/>
          <w:szCs w:val="20"/>
        </w:rPr>
      </w:pPr>
    </w:p>
    <w:p w:rsidR="00B6012E" w:rsidRPr="00CB4590" w:rsidRDefault="00B6012E" w:rsidP="00B6012E">
      <w:pPr>
        <w:spacing w:after="0" w:line="240" w:lineRule="auto"/>
        <w:rPr>
          <w:rFonts w:ascii="Arial" w:hAnsi="Arial" w:cs="Arial"/>
          <w:b/>
          <w:color w:val="54575A" w:themeColor="text1"/>
          <w:sz w:val="20"/>
          <w:szCs w:val="20"/>
        </w:rPr>
      </w:pPr>
      <w:r w:rsidRPr="005C04C4">
        <w:rPr>
          <w:rFonts w:ascii="Arial" w:hAnsi="Arial" w:cs="Arial"/>
          <w:b/>
          <w:color w:val="54575A" w:themeColor="text1"/>
          <w:sz w:val="20"/>
          <w:szCs w:val="20"/>
        </w:rPr>
        <w:t xml:space="preserve">Sexual exploitation or abuse </w:t>
      </w:r>
      <w:r w:rsidRPr="00CB4590">
        <w:rPr>
          <w:rFonts w:ascii="Arial" w:hAnsi="Arial" w:cs="Arial"/>
          <w:color w:val="54575A" w:themeColor="text1"/>
          <w:sz w:val="20"/>
          <w:szCs w:val="20"/>
        </w:rPr>
        <w:t>in the doctor-patient relationship</w:t>
      </w:r>
      <w:r w:rsidRPr="00CB4590">
        <w:rPr>
          <w:rFonts w:ascii="Arial" w:hAnsi="Arial" w:cs="Arial"/>
          <w:b/>
          <w:color w:val="54575A" w:themeColor="text1"/>
          <w:sz w:val="20"/>
          <w:szCs w:val="20"/>
        </w:rPr>
        <w:t xml:space="preserve"> </w:t>
      </w:r>
      <w:r w:rsidRPr="00CB4590">
        <w:rPr>
          <w:rFonts w:ascii="Arial" w:hAnsi="Arial" w:cs="Arial"/>
          <w:color w:val="54575A" w:themeColor="text1"/>
          <w:sz w:val="20"/>
          <w:szCs w:val="20"/>
        </w:rPr>
        <w:t>means a doctor using the power imbalance, knowledge or influence developed in the doctor-patient relationship to abuse or exploit the patient’s trust or vulnerability for sexual purposes or sexual gratification, including by conducting unnecessary physical examinations.</w:t>
      </w:r>
    </w:p>
    <w:p w:rsidR="00B6012E" w:rsidRPr="00CB4590" w:rsidRDefault="00B6012E" w:rsidP="00B6012E">
      <w:pPr>
        <w:pStyle w:val="Bullet6"/>
        <w:numPr>
          <w:ilvl w:val="0"/>
          <w:numId w:val="0"/>
        </w:numPr>
        <w:spacing w:before="200" w:after="200" w:line="240" w:lineRule="auto"/>
        <w:rPr>
          <w:rFonts w:cs="Arial"/>
          <w:b/>
          <w:color w:val="54575A" w:themeColor="text1"/>
          <w:szCs w:val="20"/>
        </w:rPr>
      </w:pPr>
      <w:r w:rsidRPr="005C04C4">
        <w:rPr>
          <w:rFonts w:ascii="Arial" w:hAnsi="Arial" w:cs="Arial"/>
          <w:b/>
          <w:color w:val="54575A" w:themeColor="text1"/>
          <w:sz w:val="20"/>
          <w:szCs w:val="20"/>
        </w:rPr>
        <w:t>Sexual harassment</w:t>
      </w:r>
      <w:r w:rsidRPr="005C04C4">
        <w:rPr>
          <w:rFonts w:ascii="Arial" w:hAnsi="Arial" w:cs="Arial"/>
          <w:color w:val="54575A" w:themeColor="text1"/>
          <w:sz w:val="20"/>
          <w:szCs w:val="20"/>
        </w:rPr>
        <w:t xml:space="preserve"> </w:t>
      </w:r>
      <w:r w:rsidRPr="00CB4590">
        <w:rPr>
          <w:rFonts w:ascii="Arial" w:hAnsi="Arial" w:cs="Arial"/>
          <w:color w:val="54575A" w:themeColor="text1"/>
          <w:sz w:val="20"/>
          <w:szCs w:val="20"/>
        </w:rPr>
        <w:t xml:space="preserve">means </w:t>
      </w:r>
      <w:r w:rsidRPr="00CB4590">
        <w:rPr>
          <w:rFonts w:ascii="Arial" w:hAnsi="Arial" w:cs="Arial"/>
          <w:color w:val="54575A" w:themeColor="text1"/>
          <w:sz w:val="20"/>
        </w:rPr>
        <w:t>any unwanted or unwelcome sexual behaviour, which makes a person feel offended, humiliated or intimated.</w:t>
      </w:r>
      <w:r w:rsidRPr="00CB4590">
        <w:rPr>
          <w:rFonts w:cs="Arial"/>
          <w:b/>
          <w:color w:val="54575A" w:themeColor="text1"/>
          <w:szCs w:val="20"/>
        </w:rPr>
        <w:t xml:space="preserve"> </w:t>
      </w:r>
      <w:r w:rsidRPr="00CB4590">
        <w:rPr>
          <w:rFonts w:ascii="Arial" w:hAnsi="Arial" w:cs="Arial"/>
          <w:color w:val="54575A" w:themeColor="text1"/>
          <w:sz w:val="20"/>
        </w:rPr>
        <w:t xml:space="preserve">Sexual harassment is a type of sex discrimination and the </w:t>
      </w:r>
      <w:r w:rsidRPr="00CB4590">
        <w:rPr>
          <w:rFonts w:ascii="Arial" w:hAnsi="Arial" w:cs="Arial"/>
          <w:i/>
          <w:color w:val="54575A" w:themeColor="text1"/>
          <w:sz w:val="20"/>
        </w:rPr>
        <w:t>Sex Discrimination Act 1984 (Cth)</w:t>
      </w:r>
      <w:r w:rsidRPr="00CB4590">
        <w:rPr>
          <w:rFonts w:ascii="Arial" w:hAnsi="Arial" w:cs="Arial"/>
          <w:color w:val="54575A" w:themeColor="text1"/>
          <w:sz w:val="20"/>
        </w:rPr>
        <w:t xml:space="preserve"> makes </w:t>
      </w:r>
      <w:r w:rsidRPr="00CB4590">
        <w:rPr>
          <w:rFonts w:ascii="Arial" w:hAnsi="Arial" w:cs="Arial"/>
          <w:color w:val="54575A" w:themeColor="text1"/>
          <w:sz w:val="20"/>
        </w:rPr>
        <w:t>sexual harassment unlawful in some circumstances.</w:t>
      </w:r>
    </w:p>
    <w:p w:rsidR="00B6012E" w:rsidRPr="00CB4590" w:rsidRDefault="00B6012E" w:rsidP="00B6012E">
      <w:pPr>
        <w:spacing w:after="0" w:line="240" w:lineRule="auto"/>
        <w:rPr>
          <w:rFonts w:ascii="Arial" w:hAnsi="Arial" w:cs="Arial"/>
          <w:color w:val="54575A" w:themeColor="text1"/>
          <w:sz w:val="20"/>
        </w:rPr>
      </w:pPr>
      <w:r w:rsidRPr="00CB4590">
        <w:rPr>
          <w:rFonts w:ascii="Arial" w:hAnsi="Arial" w:cs="Arial"/>
          <w:color w:val="54575A" w:themeColor="text1"/>
          <w:sz w:val="20"/>
        </w:rPr>
        <w:t xml:space="preserve">Sexual harassment includes: </w:t>
      </w:r>
    </w:p>
    <w:p w:rsidR="00B6012E" w:rsidRPr="00CB4590" w:rsidRDefault="00B6012E" w:rsidP="00B6012E">
      <w:pPr>
        <w:pStyle w:val="AHPRASubhead"/>
        <w:numPr>
          <w:ilvl w:val="0"/>
          <w:numId w:val="10"/>
        </w:numPr>
        <w:spacing w:before="40" w:after="40"/>
        <w:ind w:left="425" w:hanging="425"/>
        <w:rPr>
          <w:rFonts w:cs="Arial"/>
          <w:b w:val="0"/>
          <w:color w:val="54575A" w:themeColor="text1"/>
          <w:szCs w:val="20"/>
        </w:rPr>
      </w:pPr>
      <w:r w:rsidRPr="00CB4590">
        <w:rPr>
          <w:rFonts w:cs="Arial"/>
          <w:b w:val="0"/>
          <w:color w:val="54575A" w:themeColor="text1"/>
          <w:szCs w:val="20"/>
        </w:rPr>
        <w:t>making an unsolicited demand or request for sexual favours, either directly or by implication</w:t>
      </w:r>
    </w:p>
    <w:p w:rsidR="00B6012E" w:rsidRPr="00CB4590" w:rsidRDefault="00B6012E" w:rsidP="00B6012E">
      <w:pPr>
        <w:pStyle w:val="AHPRASubhead"/>
        <w:numPr>
          <w:ilvl w:val="0"/>
          <w:numId w:val="10"/>
        </w:numPr>
        <w:spacing w:before="40" w:after="40"/>
        <w:ind w:left="425" w:hanging="425"/>
        <w:rPr>
          <w:rFonts w:cs="Arial"/>
          <w:b w:val="0"/>
          <w:color w:val="54575A" w:themeColor="text1"/>
          <w:szCs w:val="20"/>
        </w:rPr>
      </w:pPr>
      <w:r w:rsidRPr="00CB4590">
        <w:rPr>
          <w:rFonts w:cs="Arial"/>
          <w:b w:val="0"/>
          <w:color w:val="54575A" w:themeColor="text1"/>
          <w:szCs w:val="20"/>
        </w:rPr>
        <w:t>irrelevant mention of a patient’s or doctor’s sexual practices, problems or orientation</w:t>
      </w:r>
    </w:p>
    <w:p w:rsidR="00B6012E" w:rsidRPr="00CB4590" w:rsidRDefault="00B6012E" w:rsidP="00B6012E">
      <w:pPr>
        <w:pStyle w:val="AHPRASubhead"/>
        <w:numPr>
          <w:ilvl w:val="0"/>
          <w:numId w:val="10"/>
        </w:numPr>
        <w:spacing w:before="40" w:after="40"/>
        <w:ind w:left="425" w:hanging="425"/>
        <w:rPr>
          <w:rFonts w:cs="Arial"/>
          <w:b w:val="0"/>
          <w:color w:val="54575A" w:themeColor="text1"/>
          <w:szCs w:val="20"/>
        </w:rPr>
      </w:pPr>
      <w:r w:rsidRPr="00CB4590">
        <w:rPr>
          <w:rFonts w:cs="Arial"/>
          <w:b w:val="0"/>
          <w:color w:val="54575A" w:themeColor="text1"/>
          <w:szCs w:val="20"/>
        </w:rPr>
        <w:t>ridicule of a patient’s sexual preferences or orientation</w:t>
      </w:r>
    </w:p>
    <w:p w:rsidR="00B6012E" w:rsidRPr="00CB4590" w:rsidRDefault="00B6012E" w:rsidP="00B6012E">
      <w:pPr>
        <w:pStyle w:val="AHPRASubhead"/>
        <w:numPr>
          <w:ilvl w:val="0"/>
          <w:numId w:val="10"/>
        </w:numPr>
        <w:spacing w:before="40" w:after="40"/>
        <w:ind w:left="425" w:hanging="425"/>
        <w:rPr>
          <w:rFonts w:cs="Arial"/>
          <w:b w:val="0"/>
          <w:color w:val="54575A" w:themeColor="text1"/>
          <w:szCs w:val="20"/>
        </w:rPr>
      </w:pPr>
      <w:r w:rsidRPr="00CB4590">
        <w:rPr>
          <w:rFonts w:cs="Arial"/>
          <w:b w:val="0"/>
          <w:color w:val="54575A" w:themeColor="text1"/>
          <w:szCs w:val="20"/>
        </w:rPr>
        <w:t>comments about sexual history that are not relevant to the clinical issue</w:t>
      </w:r>
    </w:p>
    <w:p w:rsidR="00B6012E" w:rsidRPr="00CB4590" w:rsidRDefault="00B6012E" w:rsidP="00B6012E">
      <w:pPr>
        <w:pStyle w:val="AHPRASubhead"/>
        <w:numPr>
          <w:ilvl w:val="0"/>
          <w:numId w:val="10"/>
        </w:numPr>
        <w:spacing w:before="40" w:after="40"/>
        <w:ind w:left="425" w:hanging="425"/>
        <w:rPr>
          <w:rFonts w:cs="Arial"/>
          <w:b w:val="0"/>
          <w:color w:val="54575A" w:themeColor="text1"/>
          <w:szCs w:val="20"/>
        </w:rPr>
      </w:pPr>
      <w:r w:rsidRPr="00CB4590">
        <w:rPr>
          <w:rFonts w:cs="Arial"/>
          <w:b w:val="0"/>
          <w:color w:val="54575A" w:themeColor="text1"/>
          <w:szCs w:val="20"/>
        </w:rPr>
        <w:t>requesting details of sexual history or sexual preferences not relevant to the clinical issue</w:t>
      </w:r>
    </w:p>
    <w:p w:rsidR="00B6012E" w:rsidRPr="00CB4590" w:rsidRDefault="00B6012E" w:rsidP="00B6012E">
      <w:pPr>
        <w:pStyle w:val="AHPRASubhead"/>
        <w:numPr>
          <w:ilvl w:val="0"/>
          <w:numId w:val="10"/>
        </w:numPr>
        <w:spacing w:before="40" w:after="40"/>
        <w:ind w:left="425" w:hanging="425"/>
        <w:rPr>
          <w:rFonts w:cs="Arial"/>
          <w:b w:val="0"/>
          <w:color w:val="54575A" w:themeColor="text1"/>
          <w:szCs w:val="20"/>
        </w:rPr>
      </w:pPr>
      <w:r w:rsidRPr="00CB4590">
        <w:rPr>
          <w:rFonts w:cs="Arial"/>
          <w:b w:val="0"/>
          <w:color w:val="54575A" w:themeColor="text1"/>
          <w:szCs w:val="20"/>
        </w:rPr>
        <w:t>conversations about the sexual problems or fantasies of the doctor</w:t>
      </w:r>
    </w:p>
    <w:p w:rsidR="00B6012E" w:rsidRPr="00CB4590" w:rsidRDefault="00B6012E" w:rsidP="00B6012E">
      <w:pPr>
        <w:pStyle w:val="AHPRASubhead"/>
        <w:numPr>
          <w:ilvl w:val="0"/>
          <w:numId w:val="10"/>
        </w:numPr>
        <w:spacing w:before="40" w:after="40"/>
        <w:ind w:left="425" w:hanging="425"/>
        <w:rPr>
          <w:rFonts w:cs="Arial"/>
          <w:b w:val="0"/>
          <w:color w:val="54575A" w:themeColor="text1"/>
          <w:szCs w:val="20"/>
        </w:rPr>
      </w:pPr>
      <w:r w:rsidRPr="00CB4590">
        <w:rPr>
          <w:rFonts w:cs="Arial"/>
          <w:b w:val="0"/>
          <w:color w:val="54575A" w:themeColor="text1"/>
          <w:szCs w:val="20"/>
        </w:rPr>
        <w:t>making suggestive comments about a patient’s appearance or body</w:t>
      </w:r>
    </w:p>
    <w:p w:rsidR="00B6012E" w:rsidRPr="00CB4590" w:rsidRDefault="00B6012E" w:rsidP="00B6012E">
      <w:pPr>
        <w:pStyle w:val="AHPRASubhead"/>
        <w:numPr>
          <w:ilvl w:val="0"/>
          <w:numId w:val="10"/>
        </w:numPr>
        <w:spacing w:before="40" w:after="40"/>
        <w:ind w:left="425" w:hanging="425"/>
        <w:rPr>
          <w:rFonts w:cs="Arial"/>
          <w:b w:val="0"/>
          <w:color w:val="54575A" w:themeColor="text1"/>
          <w:szCs w:val="20"/>
        </w:rPr>
      </w:pPr>
      <w:r w:rsidRPr="00CB4590">
        <w:rPr>
          <w:rFonts w:cs="Arial"/>
          <w:b w:val="0"/>
          <w:color w:val="54575A" w:themeColor="text1"/>
          <w:szCs w:val="20"/>
        </w:rPr>
        <w:t>sending sexually explicit emails or text messages</w:t>
      </w:r>
    </w:p>
    <w:p w:rsidR="00B6012E" w:rsidRPr="00CB4590" w:rsidRDefault="00B6012E" w:rsidP="00B6012E">
      <w:pPr>
        <w:pStyle w:val="AHPRASubhead"/>
        <w:numPr>
          <w:ilvl w:val="0"/>
          <w:numId w:val="10"/>
        </w:numPr>
        <w:spacing w:before="40" w:after="40"/>
        <w:ind w:left="425" w:hanging="425"/>
        <w:rPr>
          <w:rFonts w:cs="Arial"/>
          <w:b w:val="0"/>
          <w:color w:val="54575A" w:themeColor="text1"/>
          <w:szCs w:val="20"/>
        </w:rPr>
      </w:pPr>
      <w:r w:rsidRPr="00CB4590">
        <w:rPr>
          <w:rFonts w:cs="Arial"/>
          <w:b w:val="0"/>
          <w:color w:val="54575A" w:themeColor="text1"/>
          <w:szCs w:val="20"/>
        </w:rPr>
        <w:t>making inappropriate advances on social media</w:t>
      </w:r>
    </w:p>
    <w:p w:rsidR="00B6012E" w:rsidRDefault="00B6012E" w:rsidP="00B6012E">
      <w:pPr>
        <w:pStyle w:val="AHPRASubhead"/>
        <w:numPr>
          <w:ilvl w:val="1"/>
          <w:numId w:val="11"/>
        </w:numPr>
        <w:spacing w:before="40" w:after="40"/>
        <w:ind w:left="425" w:hanging="425"/>
        <w:rPr>
          <w:rFonts w:cs="Arial"/>
          <w:b w:val="0"/>
          <w:color w:val="54575A" w:themeColor="text1"/>
          <w:szCs w:val="20"/>
        </w:rPr>
      </w:pPr>
      <w:r w:rsidRPr="00CB4590">
        <w:rPr>
          <w:rFonts w:cs="Arial"/>
          <w:b w:val="0"/>
          <w:color w:val="54575A" w:themeColor="text1"/>
          <w:szCs w:val="20"/>
        </w:rPr>
        <w:t>behaviour that may also be considered to be an offence under criminal law, such as physical assault, indecent exposure, stalking, obscene communications or sexual assault.</w:t>
      </w:r>
      <w:r w:rsidRPr="00CB4590">
        <w:rPr>
          <w:rStyle w:val="FootnoteReference"/>
          <w:rFonts w:cs="Arial"/>
          <w:b w:val="0"/>
          <w:i/>
          <w:color w:val="54575A" w:themeColor="text1"/>
          <w:szCs w:val="20"/>
        </w:rPr>
        <w:footnoteReference w:id="11"/>
      </w:r>
    </w:p>
    <w:p w:rsidR="0040306F" w:rsidRPr="00837CD3" w:rsidRDefault="00A11E78" w:rsidP="006C0F69">
      <w:pPr>
        <w:pStyle w:val="Heading2"/>
        <w:spacing w:after="200" w:line="240" w:lineRule="auto"/>
        <w:rPr>
          <w:rFonts w:ascii="Arial" w:eastAsia="Cambria" w:hAnsi="Arial" w:cs="Times New Roman"/>
          <w:bCs w:val="0"/>
          <w:color w:val="54575A" w:themeColor="text1"/>
          <w:sz w:val="32"/>
          <w:szCs w:val="24"/>
        </w:rPr>
      </w:pPr>
      <w:r w:rsidRPr="00837CD3">
        <w:rPr>
          <w:rFonts w:ascii="Arial" w:eastAsia="Cambria" w:hAnsi="Arial" w:cs="Times New Roman"/>
          <w:bCs w:val="0"/>
          <w:color w:val="54575A" w:themeColor="text1"/>
          <w:sz w:val="32"/>
          <w:szCs w:val="24"/>
        </w:rPr>
        <w:t>Ac</w:t>
      </w:r>
      <w:r w:rsidR="0040306F" w:rsidRPr="00837CD3">
        <w:rPr>
          <w:rFonts w:ascii="Arial" w:eastAsia="Cambria" w:hAnsi="Arial" w:cs="Times New Roman"/>
          <w:bCs w:val="0"/>
          <w:color w:val="54575A" w:themeColor="text1"/>
          <w:sz w:val="32"/>
          <w:szCs w:val="24"/>
        </w:rPr>
        <w:t>knowledgements</w:t>
      </w:r>
    </w:p>
    <w:p w:rsidR="0040306F" w:rsidRPr="006C0F69" w:rsidRDefault="0040306F" w:rsidP="006C0F69">
      <w:pPr>
        <w:pStyle w:val="AHPRASubhead"/>
        <w:spacing w:before="200"/>
        <w:rPr>
          <w:rFonts w:cs="Arial"/>
          <w:b w:val="0"/>
          <w:color w:val="54575A" w:themeColor="text1"/>
          <w:szCs w:val="20"/>
        </w:rPr>
      </w:pPr>
      <w:r w:rsidRPr="006C0F69">
        <w:rPr>
          <w:rFonts w:cs="Arial"/>
          <w:b w:val="0"/>
          <w:color w:val="54575A" w:themeColor="text1"/>
          <w:szCs w:val="20"/>
        </w:rPr>
        <w:t xml:space="preserve">The Board acknowledges the following documents, codes and guidelines, which informed the review of the Board’s guidelines: </w:t>
      </w:r>
    </w:p>
    <w:p w:rsidR="0040306F" w:rsidRPr="006C0F69" w:rsidRDefault="0040306F" w:rsidP="006C0F69">
      <w:pPr>
        <w:pStyle w:val="AHPRASubhead"/>
        <w:numPr>
          <w:ilvl w:val="0"/>
          <w:numId w:val="12"/>
        </w:numPr>
        <w:spacing w:before="200"/>
        <w:ind w:left="364" w:hanging="364"/>
        <w:rPr>
          <w:rFonts w:cs="Arial"/>
          <w:b w:val="0"/>
          <w:color w:val="54575A" w:themeColor="text1"/>
          <w:szCs w:val="20"/>
        </w:rPr>
      </w:pPr>
      <w:r w:rsidRPr="006C0F69">
        <w:rPr>
          <w:rFonts w:cs="Arial"/>
          <w:b w:val="0"/>
          <w:color w:val="54575A" w:themeColor="text1"/>
          <w:szCs w:val="20"/>
        </w:rPr>
        <w:t xml:space="preserve">Professor Ron Paterson, </w:t>
      </w:r>
      <w:r w:rsidRPr="006C0F69">
        <w:rPr>
          <w:rFonts w:cs="Arial"/>
          <w:b w:val="0"/>
          <w:i/>
          <w:color w:val="54575A" w:themeColor="text1"/>
          <w:szCs w:val="20"/>
        </w:rPr>
        <w:t>Independent review of the use of chaperones to protect patients in Australia</w:t>
      </w:r>
      <w:r w:rsidRPr="006C0F69">
        <w:rPr>
          <w:rFonts w:cs="Arial"/>
          <w:b w:val="0"/>
          <w:color w:val="54575A" w:themeColor="text1"/>
          <w:szCs w:val="20"/>
        </w:rPr>
        <w:t>, February 2017</w:t>
      </w:r>
    </w:p>
    <w:p w:rsidR="0040306F" w:rsidRPr="006C0F69" w:rsidRDefault="0040306F" w:rsidP="006C0F69">
      <w:pPr>
        <w:pStyle w:val="AHPRASubhead"/>
        <w:numPr>
          <w:ilvl w:val="0"/>
          <w:numId w:val="12"/>
        </w:numPr>
        <w:spacing w:before="200"/>
        <w:ind w:left="364" w:hanging="364"/>
        <w:rPr>
          <w:rFonts w:cs="Arial"/>
          <w:b w:val="0"/>
          <w:color w:val="54575A" w:themeColor="text1"/>
          <w:szCs w:val="20"/>
        </w:rPr>
      </w:pPr>
      <w:r w:rsidRPr="006C0F69">
        <w:rPr>
          <w:rFonts w:cs="Arial"/>
          <w:b w:val="0"/>
          <w:color w:val="54575A" w:themeColor="text1"/>
          <w:szCs w:val="20"/>
        </w:rPr>
        <w:t xml:space="preserve">The Medical Council of New Zealand, </w:t>
      </w:r>
      <w:r w:rsidRPr="006C0F69">
        <w:rPr>
          <w:rFonts w:cs="Arial"/>
          <w:b w:val="0"/>
          <w:i/>
          <w:color w:val="54575A" w:themeColor="text1"/>
          <w:szCs w:val="20"/>
        </w:rPr>
        <w:t>Sexual Boundaries in the doctor-patient relationship: A resource for doctors</w:t>
      </w:r>
      <w:r w:rsidRPr="006C0F69">
        <w:rPr>
          <w:rFonts w:cs="Arial"/>
          <w:b w:val="0"/>
          <w:color w:val="54575A" w:themeColor="text1"/>
          <w:szCs w:val="20"/>
        </w:rPr>
        <w:t>, 2009</w:t>
      </w:r>
    </w:p>
    <w:p w:rsidR="00B6012E" w:rsidRPr="00B6012E" w:rsidRDefault="0040306F" w:rsidP="006C0F69">
      <w:pPr>
        <w:pStyle w:val="AHPRASubhead"/>
        <w:numPr>
          <w:ilvl w:val="0"/>
          <w:numId w:val="12"/>
        </w:numPr>
        <w:spacing w:before="200"/>
        <w:ind w:left="364" w:hanging="364"/>
        <w:rPr>
          <w:color w:val="54575A" w:themeColor="text1"/>
          <w:sz w:val="32"/>
        </w:rPr>
      </w:pPr>
      <w:r w:rsidRPr="00B6012E">
        <w:rPr>
          <w:rFonts w:cs="Arial"/>
          <w:b w:val="0"/>
          <w:color w:val="54575A" w:themeColor="text1"/>
          <w:szCs w:val="20"/>
        </w:rPr>
        <w:t xml:space="preserve">The Royal Australian and New Zealand College of Obstetricians and Gynaecologists, </w:t>
      </w:r>
      <w:r w:rsidRPr="00B6012E">
        <w:rPr>
          <w:rFonts w:cs="Arial"/>
          <w:b w:val="0"/>
          <w:i/>
          <w:color w:val="54575A" w:themeColor="text1"/>
          <w:szCs w:val="20"/>
        </w:rPr>
        <w:t>Guidelines for Gynaecological Examinations and Procedures</w:t>
      </w:r>
      <w:r w:rsidRPr="00B6012E">
        <w:rPr>
          <w:rFonts w:cs="Arial"/>
          <w:b w:val="0"/>
          <w:color w:val="54575A" w:themeColor="text1"/>
          <w:szCs w:val="20"/>
        </w:rPr>
        <w:t>, March 2016</w:t>
      </w:r>
    </w:p>
    <w:p w:rsidR="0040306F" w:rsidRPr="00B6012E" w:rsidRDefault="00B6012E" w:rsidP="00B6012E">
      <w:pPr>
        <w:pStyle w:val="AHPRASubhead"/>
        <w:spacing w:before="200"/>
        <w:rPr>
          <w:color w:val="54575A" w:themeColor="text1"/>
          <w:sz w:val="32"/>
        </w:rPr>
      </w:pPr>
      <w:r>
        <w:rPr>
          <w:rFonts w:cs="Arial"/>
          <w:b w:val="0"/>
          <w:color w:val="54575A" w:themeColor="text1"/>
          <w:szCs w:val="20"/>
        </w:rPr>
        <w:br w:type="column"/>
      </w:r>
      <w:r w:rsidR="0040306F" w:rsidRPr="00B6012E">
        <w:rPr>
          <w:color w:val="54575A" w:themeColor="text1"/>
          <w:sz w:val="32"/>
        </w:rPr>
        <w:lastRenderedPageBreak/>
        <w:t>Review</w:t>
      </w:r>
    </w:p>
    <w:p w:rsidR="0040306F" w:rsidRPr="006C0F69" w:rsidRDefault="005974CD" w:rsidP="006C0F69">
      <w:pPr>
        <w:pStyle w:val="AHPRAbody"/>
        <w:spacing w:before="200"/>
        <w:rPr>
          <w:color w:val="54575A" w:themeColor="text1"/>
        </w:rPr>
      </w:pPr>
      <w:r>
        <w:rPr>
          <w:bCs/>
          <w:noProof/>
          <w:color w:val="54575A" w:themeColor="text1"/>
          <w:sz w:val="32"/>
          <w:lang w:eastAsia="en-AU"/>
        </w:rPr>
        <w:pict>
          <v:rect id="Rectangle 5" o:spid="_x0000_s1027" style="position:absolute;margin-left:-7.8pt;margin-top:-48.3pt;width:258pt;height:152.4pt;z-index:-2516510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" fillcolor="white [3212]" strokecolor="#1c1a10 [334]" strokeweight="1pt"/>
        </w:pict>
      </w:r>
      <w:r w:rsidR="0040306F" w:rsidRPr="006C0F69">
        <w:rPr>
          <w:color w:val="54575A" w:themeColor="text1"/>
        </w:rPr>
        <w:t>Date of effect: &lt;date&gt;</w:t>
      </w:r>
    </w:p>
    <w:p w:rsidR="0040306F" w:rsidRPr="006C0F69" w:rsidRDefault="0040306F" w:rsidP="006C0F69">
      <w:pPr>
        <w:pStyle w:val="AHPRAbody"/>
        <w:spacing w:before="200"/>
        <w:rPr>
          <w:color w:val="54575A" w:themeColor="text1"/>
        </w:rPr>
      </w:pPr>
      <w:r w:rsidRPr="006C0F69">
        <w:rPr>
          <w:color w:val="54575A" w:themeColor="text1"/>
        </w:rPr>
        <w:t>These guidelines will be reviewed from time to time as required. The Board will review these guidelines at least every five years.</w:t>
      </w:r>
    </w:p>
    <w:p w:rsidR="0040306F" w:rsidRPr="006C0F69" w:rsidRDefault="0040306F" w:rsidP="006C0F69">
      <w:pPr>
        <w:pStyle w:val="AHPRAbody"/>
        <w:spacing w:before="200"/>
        <w:rPr>
          <w:color w:val="54575A" w:themeColor="text1"/>
        </w:rPr>
      </w:pPr>
      <w:r w:rsidRPr="006C0F69">
        <w:rPr>
          <w:color w:val="54575A" w:themeColor="text1"/>
        </w:rPr>
        <w:t>These guidelines replace the guidelines that came into effect from 28 October 2011.</w:t>
      </w:r>
    </w:p>
    <w:p w:rsidR="00C6329A" w:rsidRDefault="00C6329A" w:rsidP="006C0F69">
      <w:pPr>
        <w:spacing w:line="240" w:lineRule="auto"/>
        <w:rPr>
          <w:color w:val="54575A" w:themeColor="text1"/>
        </w:rPr>
      </w:pPr>
    </w:p>
    <w:p w:rsidR="00A23C60" w:rsidRDefault="00A23C60" w:rsidP="006C0F69">
      <w:pPr>
        <w:spacing w:line="240" w:lineRule="auto"/>
        <w:rPr>
          <w:color w:val="54575A" w:themeColor="text1"/>
        </w:rPr>
        <w:sectPr w:rsidR="00A23C60" w:rsidSect="00A00466">
          <w:headerReference w:type="even" r:id="rId23"/>
          <w:headerReference w:type="default" r:id="rId24"/>
          <w:footerReference w:type="default" r:id="rId25"/>
          <w:headerReference w:type="first" r:id="rId26"/>
          <w:footnotePr>
            <w:numRestart w:val="eachSect"/>
          </w:footnotePr>
          <w:type w:val="continuous"/>
          <w:pgSz w:w="11900" w:h="16840" w:code="9"/>
          <w:pgMar w:top="1440" w:right="1080" w:bottom="1440" w:left="1080" w:header="284" w:footer="110" w:gutter="0"/>
          <w:cols w:num="2" w:space="560"/>
          <w:titlePg/>
          <w:docGrid w:linePitch="326"/>
        </w:sectPr>
      </w:pPr>
    </w:p>
    <w:p w:rsidR="00A23C60" w:rsidRDefault="00A23C60" w:rsidP="00A23C60">
      <w:pPr>
        <w:pStyle w:val="AHPRADocumenttitle"/>
        <w:pBdr>
          <w:bottom w:val="single" w:sz="4" w:space="1" w:color="auto"/>
        </w:pBdr>
        <w:ind w:left="-1418" w:right="5340" w:firstLine="1418"/>
      </w:pPr>
    </w:p>
    <w:p w:rsidR="00A23C60" w:rsidRDefault="00A23C60" w:rsidP="00A23C60">
      <w:pPr>
        <w:pStyle w:val="AHPRADocumenttitle"/>
        <w:pBdr>
          <w:bottom w:val="single" w:sz="4" w:space="1" w:color="auto"/>
        </w:pBdr>
        <w:ind w:left="-1418" w:right="5340" w:firstLine="1418"/>
      </w:pPr>
    </w:p>
    <w:p w:rsidR="00A23C60" w:rsidRDefault="00A23C60" w:rsidP="00A23C60">
      <w:pPr>
        <w:pStyle w:val="AHPRADocumenttitle"/>
        <w:pBdr>
          <w:bottom w:val="single" w:sz="4" w:space="1" w:color="auto"/>
        </w:pBdr>
        <w:ind w:left="-1418" w:right="5340" w:firstLine="1418"/>
      </w:pPr>
    </w:p>
    <w:p w:rsidR="00A23C60" w:rsidRDefault="00A23C60" w:rsidP="00A23C60">
      <w:pPr>
        <w:pStyle w:val="AHPRADocumenttitle"/>
        <w:pBdr>
          <w:bottom w:val="single" w:sz="4" w:space="1" w:color="auto"/>
        </w:pBdr>
        <w:ind w:left="-1418" w:right="5340" w:firstLine="1418"/>
      </w:pPr>
    </w:p>
    <w:p w:rsidR="00A23C60" w:rsidRPr="00240AAF" w:rsidRDefault="00A23C60" w:rsidP="00A23C60">
      <w:pPr>
        <w:pStyle w:val="AHPRADocumenttitle"/>
        <w:pBdr>
          <w:bottom w:val="single" w:sz="4" w:space="1" w:color="auto"/>
        </w:pBdr>
        <w:ind w:left="-1418" w:right="5340" w:firstLine="1418"/>
      </w:pPr>
      <w:r w:rsidRPr="00240AAF">
        <w:t xml:space="preserve">Statement of assessment </w:t>
      </w:r>
    </w:p>
    <w:p w:rsidR="00A23C60" w:rsidRDefault="00A23C60" w:rsidP="00A23C60">
      <w:pPr>
        <w:rPr>
          <w:rFonts w:ascii="Arial" w:hAnsi="Arial" w:cs="Arial"/>
          <w:i/>
          <w:color w:val="808080"/>
          <w:sz w:val="28"/>
          <w:szCs w:val="52"/>
        </w:rPr>
      </w:pPr>
    </w:p>
    <w:p w:rsidR="00A23C60" w:rsidRPr="00C2396E" w:rsidRDefault="00A23C60" w:rsidP="00A23C60">
      <w:pPr>
        <w:rPr>
          <w:rFonts w:ascii="Arial" w:hAnsi="Arial" w:cs="Arial"/>
          <w:i/>
          <w:color w:val="808080"/>
          <w:sz w:val="28"/>
          <w:szCs w:val="52"/>
        </w:rPr>
      </w:pPr>
      <w:r>
        <w:rPr>
          <w:rFonts w:ascii="Arial" w:hAnsi="Arial" w:cs="Arial"/>
          <w:i/>
          <w:color w:val="808080"/>
          <w:sz w:val="28"/>
          <w:szCs w:val="52"/>
        </w:rPr>
        <w:t>Draft revised guidelines: Sexual boundaries in the doctor-patient relationship</w:t>
      </w:r>
    </w:p>
    <w:p w:rsidR="00A23C60" w:rsidRPr="00240AAF" w:rsidRDefault="00A23C60" w:rsidP="00A23C60">
      <w:pPr>
        <w:pStyle w:val="AHPRASubhead"/>
        <w:spacing w:before="200"/>
        <w:rPr>
          <w:i/>
        </w:rPr>
      </w:pPr>
      <w:r w:rsidRPr="00C2396E">
        <w:t xml:space="preserve">Board’s statement of assessment against AHPRA’s </w:t>
      </w:r>
      <w:r w:rsidRPr="00240AAF">
        <w:rPr>
          <w:i/>
        </w:rPr>
        <w:t>Procedures for the development of registration standards, codes and guidelines and COAG principles for best practice regulation</w:t>
      </w:r>
    </w:p>
    <w:p w:rsidR="00A23C60" w:rsidRPr="00C060DA" w:rsidRDefault="00A23C60" w:rsidP="00A23C60">
      <w:pPr>
        <w:pStyle w:val="AHPRADocumentsubheading"/>
        <w:spacing w:before="200"/>
      </w:pPr>
      <w:r w:rsidRPr="00C2396E">
        <w:rPr>
          <w:color w:val="000000"/>
          <w:sz w:val="20"/>
          <w:szCs w:val="20"/>
        </w:rPr>
        <w:t xml:space="preserve">The Australian Health Practitioner Regulation Agency (AHPRA) has </w:t>
      </w:r>
      <w:r w:rsidRPr="00CD21AB">
        <w:rPr>
          <w:i/>
          <w:color w:val="000000"/>
          <w:sz w:val="20"/>
          <w:szCs w:val="20"/>
        </w:rPr>
        <w:t xml:space="preserve">Procedures for the development of registration standards, codes and guidelines </w:t>
      </w:r>
      <w:r w:rsidRPr="00C2396E">
        <w:rPr>
          <w:color w:val="000000"/>
          <w:sz w:val="20"/>
          <w:szCs w:val="20"/>
        </w:rPr>
        <w:t>which are available at:</w:t>
      </w:r>
      <w:r w:rsidRPr="00A23C60">
        <w:rPr>
          <w:color w:val="54575A" w:themeColor="text1"/>
          <w:sz w:val="20"/>
          <w:szCs w:val="20"/>
        </w:rPr>
        <w:t xml:space="preserve"> </w:t>
      </w:r>
      <w:hyperlink r:id="rId27" w:history="1">
        <w:r w:rsidRPr="00A23C60">
          <w:rPr>
            <w:rStyle w:val="Hyperlink"/>
            <w:color w:val="54575A" w:themeColor="text1"/>
            <w:sz w:val="20"/>
            <w:szCs w:val="20"/>
          </w:rPr>
          <w:t>www.ahpra.gov.au</w:t>
        </w:r>
      </w:hyperlink>
    </w:p>
    <w:p w:rsidR="00A23C60" w:rsidRPr="00C2396E" w:rsidRDefault="00A23C60" w:rsidP="00A23C60">
      <w:pPr>
        <w:pStyle w:val="AHPRAHeadline"/>
        <w:spacing w:before="200"/>
        <w:outlineLvl w:val="0"/>
        <w:rPr>
          <w:rFonts w:cs="Arial"/>
          <w:color w:val="000000"/>
          <w:sz w:val="20"/>
          <w:szCs w:val="20"/>
        </w:rPr>
      </w:pPr>
      <w:r w:rsidRPr="00C2396E">
        <w:rPr>
          <w:rFonts w:cs="Arial"/>
          <w:color w:val="000000"/>
          <w:sz w:val="20"/>
          <w:szCs w:val="20"/>
        </w:rPr>
        <w:t>These procedures have been developed by AHPRA in accordance with section 25 of the Health Practitioner Regulation National Law</w:t>
      </w:r>
      <w:r w:rsidRPr="00C2396E">
        <w:rPr>
          <w:rFonts w:cs="Arial"/>
          <w:i/>
          <w:color w:val="000000"/>
          <w:sz w:val="20"/>
          <w:szCs w:val="20"/>
        </w:rPr>
        <w:t xml:space="preserve"> </w:t>
      </w:r>
      <w:r w:rsidRPr="00C2396E">
        <w:rPr>
          <w:rFonts w:cs="Arial"/>
          <w:color w:val="000000"/>
          <w:sz w:val="20"/>
          <w:szCs w:val="20"/>
        </w:rPr>
        <w:t>as in force in each state and territory (the National Law) which requires AHPRA to establish procedures for the purpose of ensuring that the National Registration and Accreditation Scheme (the National Scheme) operates in accordance with good regulatory practice.</w:t>
      </w:r>
    </w:p>
    <w:p w:rsidR="00A23C60" w:rsidRPr="00C2396E" w:rsidRDefault="00A23C60" w:rsidP="00A23C60">
      <w:pPr>
        <w:pStyle w:val="AHPRAHeadline"/>
        <w:spacing w:before="200"/>
        <w:outlineLvl w:val="0"/>
        <w:rPr>
          <w:rFonts w:cs="Arial"/>
          <w:color w:val="000000"/>
          <w:sz w:val="20"/>
          <w:szCs w:val="20"/>
        </w:rPr>
      </w:pPr>
      <w:r>
        <w:rPr>
          <w:rFonts w:cs="Arial"/>
          <w:color w:val="000000"/>
          <w:sz w:val="20"/>
          <w:szCs w:val="20"/>
        </w:rPr>
        <w:t xml:space="preserve">Below is the Medical Board of Australia’s (the Board) </w:t>
      </w:r>
      <w:r w:rsidRPr="00C2396E">
        <w:rPr>
          <w:rFonts w:cs="Arial"/>
          <w:color w:val="000000"/>
          <w:sz w:val="20"/>
          <w:szCs w:val="20"/>
        </w:rPr>
        <w:t xml:space="preserve">assessment of their proposal for its </w:t>
      </w:r>
      <w:r>
        <w:rPr>
          <w:rFonts w:cs="Arial"/>
          <w:color w:val="000000"/>
          <w:sz w:val="20"/>
          <w:szCs w:val="20"/>
        </w:rPr>
        <w:t>draft</w:t>
      </w:r>
      <w:r w:rsidRPr="00C2396E">
        <w:rPr>
          <w:rFonts w:cs="Arial"/>
          <w:color w:val="000000"/>
          <w:sz w:val="20"/>
          <w:szCs w:val="20"/>
        </w:rPr>
        <w:t xml:space="preserve"> </w:t>
      </w:r>
      <w:r>
        <w:rPr>
          <w:rFonts w:cs="Arial"/>
          <w:color w:val="000000"/>
          <w:sz w:val="20"/>
          <w:szCs w:val="20"/>
        </w:rPr>
        <w:t>revised guidelines</w:t>
      </w:r>
      <w:r w:rsidRPr="00C2396E">
        <w:rPr>
          <w:rFonts w:cs="Arial"/>
          <w:color w:val="000000"/>
          <w:sz w:val="20"/>
          <w:szCs w:val="20"/>
        </w:rPr>
        <w:t xml:space="preserve"> against the three elements outlined in the AHPRA procedures.</w:t>
      </w:r>
    </w:p>
    <w:p w:rsidR="00A23C60" w:rsidRPr="00C2396E" w:rsidRDefault="00A23C60" w:rsidP="00A23C60">
      <w:pPr>
        <w:pStyle w:val="AHPRASubhead"/>
        <w:numPr>
          <w:ilvl w:val="0"/>
          <w:numId w:val="45"/>
        </w:numPr>
        <w:spacing w:before="200"/>
        <w:ind w:left="357" w:hanging="357"/>
        <w:rPr>
          <w:rFonts w:cs="Arial"/>
        </w:rPr>
      </w:pPr>
      <w:r w:rsidRPr="00C2396E">
        <w:rPr>
          <w:rFonts w:cs="Arial"/>
        </w:rPr>
        <w:t>The proposal takes into account the National Scheme’s objectives and guiding principles set out in section 3 of the National Law</w:t>
      </w:r>
    </w:p>
    <w:p w:rsidR="00A23C60" w:rsidRPr="00C2396E" w:rsidRDefault="00A23C60" w:rsidP="00A23C60">
      <w:pPr>
        <w:pStyle w:val="AHPRAHeadline"/>
        <w:spacing w:before="200"/>
        <w:outlineLvl w:val="0"/>
        <w:rPr>
          <w:rFonts w:cs="Arial"/>
          <w:b/>
          <w:color w:val="auto"/>
          <w:sz w:val="20"/>
          <w:szCs w:val="20"/>
        </w:rPr>
      </w:pPr>
      <w:r w:rsidRPr="00C2396E">
        <w:rPr>
          <w:rFonts w:cs="Arial"/>
          <w:b/>
          <w:color w:val="auto"/>
          <w:sz w:val="20"/>
          <w:szCs w:val="20"/>
        </w:rPr>
        <w:t>Board assessment</w:t>
      </w:r>
    </w:p>
    <w:p w:rsidR="00A23C60" w:rsidRDefault="00A23C60" w:rsidP="00A23C60">
      <w:pPr>
        <w:pStyle w:val="AHPRAHeadline"/>
        <w:spacing w:before="200"/>
        <w:outlineLvl w:val="0"/>
        <w:rPr>
          <w:rFonts w:cs="Arial"/>
          <w:color w:val="auto"/>
          <w:sz w:val="20"/>
          <w:szCs w:val="20"/>
        </w:rPr>
      </w:pPr>
      <w:r w:rsidRPr="00C2396E">
        <w:rPr>
          <w:rFonts w:cs="Arial"/>
          <w:color w:val="auto"/>
          <w:sz w:val="20"/>
          <w:szCs w:val="20"/>
        </w:rPr>
        <w:t xml:space="preserve">The Board considers that the </w:t>
      </w:r>
      <w:r>
        <w:rPr>
          <w:rFonts w:cs="Arial"/>
          <w:color w:val="auto"/>
          <w:sz w:val="20"/>
          <w:szCs w:val="20"/>
        </w:rPr>
        <w:t>draft revised guidelines</w:t>
      </w:r>
      <w:r w:rsidRPr="00C2396E">
        <w:rPr>
          <w:rFonts w:cs="Arial"/>
          <w:color w:val="auto"/>
          <w:sz w:val="20"/>
          <w:szCs w:val="20"/>
        </w:rPr>
        <w:t xml:space="preserve"> meet the objectives and guiding principles of the National Law.</w:t>
      </w:r>
    </w:p>
    <w:p w:rsidR="00A23C60" w:rsidRPr="00C2396E" w:rsidRDefault="00A23C60" w:rsidP="00A23C60">
      <w:pPr>
        <w:pStyle w:val="AHPRAHeadline"/>
        <w:spacing w:before="200"/>
        <w:outlineLvl w:val="0"/>
        <w:rPr>
          <w:rFonts w:cs="Arial"/>
          <w:color w:val="auto"/>
          <w:sz w:val="20"/>
          <w:szCs w:val="20"/>
        </w:rPr>
      </w:pPr>
      <w:r>
        <w:rPr>
          <w:rFonts w:cs="Arial"/>
          <w:color w:val="auto"/>
          <w:sz w:val="20"/>
          <w:szCs w:val="20"/>
        </w:rPr>
        <w:t>The proposal takes into account the National Scheme’s key objective of protecting the public by setting out the ethical and professional standards of conduct expected of medical practitioners and against which they will be measured to ensure that only those who practise in a competent and ethical manner are registered.</w:t>
      </w:r>
    </w:p>
    <w:p w:rsidR="00A23C60" w:rsidRPr="00240AAF" w:rsidRDefault="00A23C60" w:rsidP="00A23C60">
      <w:pPr>
        <w:pStyle w:val="AHPRAHeadline"/>
        <w:spacing w:before="200"/>
        <w:outlineLvl w:val="0"/>
        <w:rPr>
          <w:rFonts w:cs="Arial"/>
          <w:color w:val="auto"/>
          <w:sz w:val="20"/>
          <w:szCs w:val="20"/>
        </w:rPr>
      </w:pPr>
      <w:r w:rsidRPr="00C2396E">
        <w:rPr>
          <w:rFonts w:cs="Arial"/>
          <w:color w:val="auto"/>
          <w:sz w:val="20"/>
          <w:szCs w:val="20"/>
        </w:rPr>
        <w:t xml:space="preserve">The </w:t>
      </w:r>
      <w:r>
        <w:rPr>
          <w:rFonts w:cs="Arial"/>
          <w:color w:val="auto"/>
          <w:sz w:val="20"/>
          <w:szCs w:val="20"/>
        </w:rPr>
        <w:t>draft revised guidelines</w:t>
      </w:r>
      <w:r w:rsidRPr="00C2396E">
        <w:rPr>
          <w:rFonts w:cs="Arial"/>
          <w:color w:val="auto"/>
          <w:sz w:val="20"/>
          <w:szCs w:val="20"/>
        </w:rPr>
        <w:t xml:space="preserve"> also support the National Scheme to operate in a transparent, accountable, efficient, effective and fair way</w:t>
      </w:r>
      <w:r>
        <w:rPr>
          <w:rFonts w:cs="Arial"/>
          <w:color w:val="auto"/>
          <w:sz w:val="20"/>
          <w:szCs w:val="20"/>
        </w:rPr>
        <w:t>. The proposal gives clear guidance on the Board’s expectations of medical practitioners and there are protective actions that can be taken under the National Law if a practitioner does not fulfill these expectations.</w:t>
      </w:r>
    </w:p>
    <w:p w:rsidR="00A23C60" w:rsidRPr="00C2396E" w:rsidRDefault="00A23C60" w:rsidP="00A23C60">
      <w:pPr>
        <w:pStyle w:val="AHPRASubhead"/>
        <w:numPr>
          <w:ilvl w:val="0"/>
          <w:numId w:val="45"/>
        </w:numPr>
        <w:spacing w:before="200"/>
        <w:ind w:left="357" w:hanging="357"/>
        <w:rPr>
          <w:rFonts w:cs="Arial"/>
        </w:rPr>
      </w:pPr>
      <w:r w:rsidRPr="00C2396E">
        <w:rPr>
          <w:rFonts w:cs="Arial"/>
        </w:rPr>
        <w:t>The consultation requirements of the National Law are met</w:t>
      </w:r>
    </w:p>
    <w:p w:rsidR="00A23C60" w:rsidRPr="00C2396E" w:rsidRDefault="00A23C60" w:rsidP="00A23C60">
      <w:pPr>
        <w:pStyle w:val="AHPRAHeadline"/>
        <w:spacing w:before="200"/>
        <w:outlineLvl w:val="0"/>
        <w:rPr>
          <w:rFonts w:cs="Arial"/>
          <w:b/>
          <w:color w:val="auto"/>
          <w:sz w:val="20"/>
          <w:szCs w:val="20"/>
        </w:rPr>
      </w:pPr>
      <w:r w:rsidRPr="00C2396E">
        <w:rPr>
          <w:rFonts w:cs="Arial"/>
          <w:b/>
          <w:color w:val="auto"/>
          <w:sz w:val="20"/>
          <w:szCs w:val="20"/>
        </w:rPr>
        <w:t>Board assessment</w:t>
      </w:r>
    </w:p>
    <w:p w:rsidR="00A23C60" w:rsidRPr="00C2396E" w:rsidRDefault="00A23C60" w:rsidP="00A23C60">
      <w:pPr>
        <w:pStyle w:val="AHPRAHeadline"/>
        <w:spacing w:before="200"/>
        <w:outlineLvl w:val="0"/>
        <w:rPr>
          <w:rFonts w:cs="Arial"/>
          <w:color w:val="auto"/>
          <w:sz w:val="20"/>
          <w:szCs w:val="20"/>
        </w:rPr>
      </w:pPr>
      <w:r w:rsidRPr="00C2396E">
        <w:rPr>
          <w:rFonts w:cs="Arial"/>
          <w:color w:val="auto"/>
          <w:sz w:val="20"/>
          <w:szCs w:val="20"/>
        </w:rPr>
        <w:t xml:space="preserve">The National Law requires wide-ranging consultation on proposed </w:t>
      </w:r>
      <w:r>
        <w:rPr>
          <w:rFonts w:cs="Arial"/>
          <w:color w:val="auto"/>
          <w:sz w:val="20"/>
          <w:szCs w:val="20"/>
        </w:rPr>
        <w:t xml:space="preserve">guidelines. </w:t>
      </w:r>
      <w:r w:rsidRPr="00C2396E">
        <w:rPr>
          <w:rFonts w:cs="Arial"/>
          <w:color w:val="auto"/>
          <w:sz w:val="20"/>
          <w:szCs w:val="20"/>
        </w:rPr>
        <w:t xml:space="preserve">The National Law also requires the Board to consult </w:t>
      </w:r>
      <w:r>
        <w:rPr>
          <w:rFonts w:cs="Arial"/>
          <w:color w:val="auto"/>
          <w:sz w:val="20"/>
          <w:szCs w:val="20"/>
        </w:rPr>
        <w:t xml:space="preserve">the </w:t>
      </w:r>
      <w:r w:rsidRPr="00C2396E">
        <w:rPr>
          <w:rFonts w:cs="Arial"/>
          <w:color w:val="auto"/>
          <w:sz w:val="20"/>
          <w:szCs w:val="20"/>
        </w:rPr>
        <w:t xml:space="preserve">other </w:t>
      </w:r>
      <w:r>
        <w:rPr>
          <w:rFonts w:cs="Arial"/>
          <w:color w:val="auto"/>
          <w:sz w:val="20"/>
          <w:szCs w:val="20"/>
        </w:rPr>
        <w:t>National B</w:t>
      </w:r>
      <w:r w:rsidRPr="00C2396E">
        <w:rPr>
          <w:rFonts w:cs="Arial"/>
          <w:color w:val="auto"/>
          <w:sz w:val="20"/>
          <w:szCs w:val="20"/>
        </w:rPr>
        <w:t>oards on matters of shared interest.</w:t>
      </w:r>
    </w:p>
    <w:p w:rsidR="00A23C60" w:rsidRDefault="00A23C60" w:rsidP="00A23C60">
      <w:pPr>
        <w:pStyle w:val="Default"/>
        <w:spacing w:before="200" w:after="200"/>
        <w:rPr>
          <w:sz w:val="20"/>
          <w:szCs w:val="20"/>
        </w:rPr>
      </w:pPr>
    </w:p>
    <w:p w:rsidR="00A23C60" w:rsidRDefault="00A23C60" w:rsidP="00A23C60">
      <w:pPr>
        <w:autoSpaceDE w:val="0"/>
        <w:autoSpaceDN w:val="0"/>
        <w:adjustRightInd w:val="0"/>
        <w:spacing w:before="200"/>
        <w:rPr>
          <w:rFonts w:ascii="Arial" w:hAnsi="Arial" w:cs="Arial"/>
          <w:sz w:val="20"/>
          <w:szCs w:val="20"/>
        </w:rPr>
      </w:pPr>
      <w:r>
        <w:rPr>
          <w:rFonts w:ascii="Arial" w:hAnsi="Arial" w:cs="Arial"/>
          <w:sz w:val="20"/>
          <w:szCs w:val="20"/>
        </w:rPr>
        <w:lastRenderedPageBreak/>
        <w:t xml:space="preserve">The Board is ensuring there is public exposure of its proposals and the opportunity for public </w:t>
      </w:r>
      <w:r w:rsidRPr="006067A7">
        <w:rPr>
          <w:rFonts w:ascii="Arial" w:hAnsi="Arial" w:cs="Arial"/>
          <w:sz w:val="20"/>
          <w:szCs w:val="20"/>
        </w:rPr>
        <w:t>comment by undertaking a</w:t>
      </w:r>
      <w:r w:rsidR="006067A7" w:rsidRPr="006067A7">
        <w:rPr>
          <w:rFonts w:ascii="Arial" w:hAnsi="Arial" w:cs="Arial"/>
          <w:sz w:val="20"/>
          <w:szCs w:val="20"/>
        </w:rPr>
        <w:t>n eight</w:t>
      </w:r>
      <w:r w:rsidRPr="006067A7">
        <w:rPr>
          <w:rFonts w:ascii="Arial" w:hAnsi="Arial" w:cs="Arial"/>
          <w:sz w:val="20"/>
          <w:szCs w:val="20"/>
        </w:rPr>
        <w:t xml:space="preserve"> week public consultation process. The process will include the</w:t>
      </w:r>
      <w:r>
        <w:rPr>
          <w:rFonts w:ascii="Arial" w:hAnsi="Arial" w:cs="Arial"/>
          <w:sz w:val="20"/>
          <w:szCs w:val="20"/>
        </w:rPr>
        <w:t xml:space="preserve"> publication of the consultation paper on its website and informing medical practitioners via the Board’s electronic newsletter sent to more than 95% of registered medical practitioners.</w:t>
      </w:r>
    </w:p>
    <w:p w:rsidR="00A23C60" w:rsidRDefault="00A23C60" w:rsidP="00A23C60">
      <w:pPr>
        <w:autoSpaceDE w:val="0"/>
        <w:autoSpaceDN w:val="0"/>
        <w:adjustRightInd w:val="0"/>
        <w:spacing w:before="200"/>
        <w:rPr>
          <w:rFonts w:ascii="Arial" w:hAnsi="Arial" w:cs="Arial"/>
          <w:sz w:val="20"/>
          <w:szCs w:val="20"/>
        </w:rPr>
      </w:pPr>
      <w:r>
        <w:rPr>
          <w:rFonts w:ascii="Arial" w:hAnsi="Arial" w:cs="Arial"/>
          <w:sz w:val="20"/>
          <w:szCs w:val="20"/>
        </w:rPr>
        <w:t>The Board will also draw this paper to the attention of key stakeholders including the other National Boards.</w:t>
      </w:r>
    </w:p>
    <w:p w:rsidR="00A23C60" w:rsidRPr="002D74A2" w:rsidRDefault="00A23C60" w:rsidP="00A23C60">
      <w:pPr>
        <w:autoSpaceDE w:val="0"/>
        <w:autoSpaceDN w:val="0"/>
        <w:adjustRightInd w:val="0"/>
        <w:spacing w:before="200"/>
        <w:rPr>
          <w:rFonts w:ascii="Arial" w:hAnsi="Arial" w:cs="Arial"/>
          <w:sz w:val="20"/>
          <w:szCs w:val="20"/>
        </w:rPr>
      </w:pPr>
      <w:r>
        <w:rPr>
          <w:rFonts w:ascii="Arial" w:hAnsi="Arial" w:cs="Arial"/>
          <w:sz w:val="20"/>
          <w:szCs w:val="20"/>
        </w:rPr>
        <w:t>The Board will take into account the feedback it receives when finalising its draft guidelines.</w:t>
      </w:r>
    </w:p>
    <w:p w:rsidR="00A23C60" w:rsidRPr="00C2396E" w:rsidRDefault="00A23C60" w:rsidP="00A23C60">
      <w:pPr>
        <w:pStyle w:val="AHPRASubhead"/>
        <w:numPr>
          <w:ilvl w:val="0"/>
          <w:numId w:val="45"/>
        </w:numPr>
        <w:spacing w:before="200"/>
        <w:ind w:left="357" w:hanging="357"/>
        <w:rPr>
          <w:rFonts w:cs="Arial"/>
        </w:rPr>
      </w:pPr>
      <w:r w:rsidRPr="00C2396E">
        <w:rPr>
          <w:rFonts w:cs="Arial"/>
        </w:rPr>
        <w:t>The proposal takes into account the COAG Principles for Best Practice Regulation</w:t>
      </w:r>
    </w:p>
    <w:p w:rsidR="00A23C60" w:rsidRPr="00C2396E" w:rsidRDefault="00A23C60" w:rsidP="00A23C60">
      <w:pPr>
        <w:pStyle w:val="AHPRAHeadline"/>
        <w:spacing w:before="200"/>
        <w:outlineLvl w:val="0"/>
        <w:rPr>
          <w:rFonts w:cs="Arial"/>
          <w:b/>
          <w:i/>
          <w:color w:val="7F7F7F"/>
          <w:sz w:val="20"/>
          <w:szCs w:val="20"/>
        </w:rPr>
      </w:pPr>
      <w:r w:rsidRPr="00C2396E">
        <w:rPr>
          <w:rFonts w:cs="Arial"/>
          <w:b/>
          <w:color w:val="auto"/>
          <w:sz w:val="20"/>
          <w:szCs w:val="20"/>
        </w:rPr>
        <w:t>Board assessment</w:t>
      </w:r>
    </w:p>
    <w:p w:rsidR="00A23C60" w:rsidRPr="00C2396E" w:rsidRDefault="00A23C60" w:rsidP="00A23C60">
      <w:pPr>
        <w:pStyle w:val="AHPRAHeadline"/>
        <w:spacing w:before="200"/>
        <w:outlineLvl w:val="0"/>
        <w:rPr>
          <w:rFonts w:cs="Arial"/>
          <w:color w:val="auto"/>
          <w:sz w:val="20"/>
          <w:szCs w:val="20"/>
        </w:rPr>
      </w:pPr>
      <w:r w:rsidRPr="00C2396E">
        <w:rPr>
          <w:rFonts w:cs="Arial"/>
          <w:color w:val="auto"/>
          <w:sz w:val="20"/>
          <w:szCs w:val="20"/>
        </w:rPr>
        <w:t xml:space="preserve">In developing the </w:t>
      </w:r>
      <w:r>
        <w:rPr>
          <w:rFonts w:cs="Arial"/>
          <w:color w:val="000000"/>
          <w:sz w:val="20"/>
          <w:szCs w:val="20"/>
          <w:lang w:eastAsia="en-AU"/>
        </w:rPr>
        <w:t>draft revised guidelines</w:t>
      </w:r>
      <w:r w:rsidRPr="00C2396E">
        <w:rPr>
          <w:rFonts w:cs="Arial"/>
          <w:color w:val="auto"/>
          <w:sz w:val="20"/>
          <w:szCs w:val="20"/>
        </w:rPr>
        <w:t xml:space="preserve">, the Board has taken into account the Council of Australian Governments (COAG) </w:t>
      </w:r>
      <w:r w:rsidRPr="00C2396E">
        <w:rPr>
          <w:rFonts w:cs="Arial"/>
          <w:i/>
          <w:color w:val="auto"/>
          <w:sz w:val="20"/>
          <w:szCs w:val="20"/>
        </w:rPr>
        <w:t>Principles for Best Practice Regulation</w:t>
      </w:r>
      <w:r w:rsidRPr="00C2396E">
        <w:rPr>
          <w:rFonts w:cs="Arial"/>
          <w:color w:val="auto"/>
          <w:sz w:val="20"/>
          <w:szCs w:val="20"/>
        </w:rPr>
        <w:t xml:space="preserve">.  </w:t>
      </w:r>
    </w:p>
    <w:p w:rsidR="00A23C60" w:rsidRPr="00C2396E" w:rsidRDefault="00A23C60" w:rsidP="00A23C60">
      <w:pPr>
        <w:pStyle w:val="AHPRAHeadline"/>
        <w:spacing w:before="200"/>
        <w:outlineLvl w:val="0"/>
        <w:rPr>
          <w:rFonts w:cs="Arial"/>
          <w:color w:val="auto"/>
          <w:sz w:val="20"/>
          <w:szCs w:val="20"/>
        </w:rPr>
      </w:pPr>
      <w:r w:rsidRPr="00C2396E">
        <w:rPr>
          <w:rFonts w:cs="Arial"/>
          <w:color w:val="auto"/>
          <w:sz w:val="20"/>
          <w:szCs w:val="20"/>
        </w:rPr>
        <w:t>As an overall statement, the Board has taken care not to propose unnecessary regulatory burdens that would create unjustified costs for the prof</w:t>
      </w:r>
      <w:r>
        <w:rPr>
          <w:rFonts w:cs="Arial"/>
          <w:color w:val="auto"/>
          <w:sz w:val="20"/>
          <w:szCs w:val="20"/>
        </w:rPr>
        <w:t xml:space="preserve">ession or the community. </w:t>
      </w:r>
    </w:p>
    <w:p w:rsidR="00A23C60" w:rsidRPr="0062203D" w:rsidRDefault="00A23C60" w:rsidP="00A23C60">
      <w:pPr>
        <w:pStyle w:val="AHPRAHeadline"/>
        <w:spacing w:before="200"/>
        <w:outlineLvl w:val="0"/>
        <w:rPr>
          <w:rFonts w:cs="Arial"/>
          <w:color w:val="000000"/>
          <w:sz w:val="20"/>
          <w:szCs w:val="20"/>
        </w:rPr>
      </w:pPr>
      <w:r w:rsidRPr="00C2396E">
        <w:rPr>
          <w:rFonts w:cs="Arial"/>
          <w:color w:val="auto"/>
          <w:sz w:val="20"/>
          <w:szCs w:val="20"/>
        </w:rPr>
        <w:t xml:space="preserve">The Board makes the </w:t>
      </w:r>
      <w:r w:rsidRPr="00C2396E">
        <w:rPr>
          <w:rFonts w:cs="Arial"/>
          <w:color w:val="000000"/>
          <w:sz w:val="20"/>
          <w:szCs w:val="20"/>
        </w:rPr>
        <w:t>following assessment specific to each of the COAG principles expressed in the AHPRA procedures.</w:t>
      </w:r>
    </w:p>
    <w:p w:rsidR="00A23C60" w:rsidRPr="00240AAF" w:rsidRDefault="00A23C60" w:rsidP="00A23C60">
      <w:pPr>
        <w:pStyle w:val="AHPRASubhead"/>
        <w:spacing w:before="200"/>
      </w:pPr>
      <w:r w:rsidRPr="00240AAF">
        <w:t>COAG Principles</w:t>
      </w:r>
    </w:p>
    <w:p w:rsidR="00A23C60" w:rsidRPr="00C2396E" w:rsidRDefault="00A23C60" w:rsidP="00A23C60">
      <w:pPr>
        <w:pStyle w:val="AHPRASubhead"/>
        <w:numPr>
          <w:ilvl w:val="0"/>
          <w:numId w:val="44"/>
        </w:numPr>
        <w:spacing w:before="200"/>
        <w:ind w:left="426" w:hanging="426"/>
        <w:rPr>
          <w:rFonts w:cs="Arial"/>
        </w:rPr>
      </w:pPr>
      <w:r w:rsidRPr="00C2396E">
        <w:rPr>
          <w:rFonts w:cs="Arial"/>
        </w:rPr>
        <w:t xml:space="preserve">Whether the proposal is the best option for achieving the proposal’s stated purpose and protection of the public  </w:t>
      </w:r>
    </w:p>
    <w:p w:rsidR="00A23C60" w:rsidRPr="00C2396E" w:rsidRDefault="00A23C60" w:rsidP="00A23C60">
      <w:pPr>
        <w:pStyle w:val="AHPRAHeadline"/>
        <w:spacing w:before="200"/>
        <w:outlineLvl w:val="0"/>
        <w:rPr>
          <w:rFonts w:cs="Arial"/>
          <w:b/>
          <w:color w:val="auto"/>
          <w:sz w:val="20"/>
          <w:szCs w:val="20"/>
        </w:rPr>
      </w:pPr>
      <w:r w:rsidRPr="00C2396E">
        <w:rPr>
          <w:rFonts w:cs="Arial"/>
          <w:b/>
          <w:color w:val="auto"/>
          <w:sz w:val="20"/>
          <w:szCs w:val="20"/>
        </w:rPr>
        <w:t>Board assessment</w:t>
      </w:r>
    </w:p>
    <w:p w:rsidR="00A23C60" w:rsidRPr="00E07FB9" w:rsidRDefault="00A23C60" w:rsidP="00A23C60">
      <w:pPr>
        <w:pStyle w:val="AHPRAHeadline"/>
        <w:spacing w:before="200"/>
        <w:outlineLvl w:val="0"/>
        <w:rPr>
          <w:rFonts w:cs="Arial"/>
          <w:color w:val="auto"/>
          <w:sz w:val="20"/>
          <w:szCs w:val="20"/>
        </w:rPr>
      </w:pPr>
      <w:r w:rsidRPr="00C2396E">
        <w:rPr>
          <w:rFonts w:cs="Arial"/>
          <w:color w:val="auto"/>
          <w:sz w:val="20"/>
          <w:szCs w:val="20"/>
        </w:rPr>
        <w:t>The Bo</w:t>
      </w:r>
      <w:r>
        <w:rPr>
          <w:rFonts w:cs="Arial"/>
          <w:color w:val="auto"/>
          <w:sz w:val="20"/>
          <w:szCs w:val="20"/>
        </w:rPr>
        <w:t>ard considers that its proposal</w:t>
      </w:r>
      <w:r w:rsidRPr="00C2396E">
        <w:rPr>
          <w:rFonts w:cs="Arial"/>
          <w:color w:val="auto"/>
          <w:sz w:val="20"/>
          <w:szCs w:val="20"/>
        </w:rPr>
        <w:t xml:space="preserve"> </w:t>
      </w:r>
      <w:r>
        <w:rPr>
          <w:rFonts w:cs="Arial"/>
          <w:color w:val="auto"/>
          <w:sz w:val="20"/>
          <w:szCs w:val="20"/>
        </w:rPr>
        <w:t>is the best option</w:t>
      </w:r>
      <w:r w:rsidRPr="00C2396E">
        <w:rPr>
          <w:rFonts w:cs="Arial"/>
          <w:color w:val="auto"/>
          <w:sz w:val="20"/>
          <w:szCs w:val="20"/>
        </w:rPr>
        <w:t xml:space="preserve"> for achieving the stated purposes. </w:t>
      </w:r>
      <w:r w:rsidRPr="003F5008">
        <w:rPr>
          <w:rFonts w:cs="Arial"/>
          <w:color w:val="auto"/>
          <w:sz w:val="20"/>
          <w:szCs w:val="20"/>
        </w:rPr>
        <w:t>The draf</w:t>
      </w:r>
      <w:r>
        <w:rPr>
          <w:rFonts w:cs="Arial"/>
          <w:color w:val="auto"/>
          <w:sz w:val="20"/>
          <w:szCs w:val="20"/>
        </w:rPr>
        <w:t>t revised guidelines</w:t>
      </w:r>
      <w:r w:rsidRPr="003F5008">
        <w:rPr>
          <w:rFonts w:cs="Arial"/>
          <w:color w:val="auto"/>
          <w:sz w:val="20"/>
          <w:szCs w:val="20"/>
        </w:rPr>
        <w:t xml:space="preserve"> do not propose </w:t>
      </w:r>
      <w:r>
        <w:rPr>
          <w:rFonts w:cs="Arial"/>
          <w:color w:val="auto"/>
          <w:sz w:val="20"/>
          <w:szCs w:val="20"/>
        </w:rPr>
        <w:t>any significant changes</w:t>
      </w:r>
      <w:r w:rsidRPr="003F5008">
        <w:rPr>
          <w:rFonts w:cs="Arial"/>
          <w:color w:val="auto"/>
          <w:sz w:val="20"/>
          <w:szCs w:val="20"/>
        </w:rPr>
        <w:t xml:space="preserve"> to </w:t>
      </w:r>
      <w:r>
        <w:rPr>
          <w:rFonts w:cs="Arial"/>
          <w:color w:val="auto"/>
          <w:sz w:val="20"/>
          <w:szCs w:val="20"/>
        </w:rPr>
        <w:t xml:space="preserve">the current ethical and professional standards of conduct expected of medical practitioners and the revised guidelines continue to complement the principles contained in the Board’s current code of conduct </w:t>
      </w:r>
      <w:r w:rsidRPr="00EB0909">
        <w:rPr>
          <w:rFonts w:cs="Arial"/>
          <w:i/>
          <w:color w:val="auto"/>
          <w:sz w:val="20"/>
          <w:szCs w:val="20"/>
        </w:rPr>
        <w:t>‘Good medical practice: A code of conduct for doctors in Australia’.</w:t>
      </w:r>
    </w:p>
    <w:p w:rsidR="00A23C60" w:rsidRDefault="00A23C60" w:rsidP="00A23C60">
      <w:pPr>
        <w:pStyle w:val="AHPRAHeadline"/>
        <w:spacing w:before="200"/>
        <w:outlineLvl w:val="0"/>
        <w:rPr>
          <w:rFonts w:cs="Arial"/>
          <w:color w:val="auto"/>
          <w:sz w:val="20"/>
          <w:szCs w:val="20"/>
        </w:rPr>
      </w:pPr>
      <w:r>
        <w:rPr>
          <w:rFonts w:cs="Arial"/>
          <w:color w:val="auto"/>
          <w:sz w:val="20"/>
          <w:szCs w:val="20"/>
        </w:rPr>
        <w:t>The proposal protects the public by making clear the standards of ethical and professional conduct expected of medical practitioners by the Board, their professional peers and the community.  The proposal also provides specific guidance for medical practitioners about their obligations in maintaining sexual boundaries in the doctor-patient relationship.</w:t>
      </w:r>
    </w:p>
    <w:p w:rsidR="00A23C60" w:rsidRPr="00C2396E" w:rsidRDefault="00A23C60" w:rsidP="00A23C60">
      <w:pPr>
        <w:pStyle w:val="AHPRASubhead"/>
        <w:numPr>
          <w:ilvl w:val="0"/>
          <w:numId w:val="44"/>
        </w:numPr>
        <w:spacing w:before="200"/>
        <w:ind w:left="426" w:hanging="426"/>
        <w:rPr>
          <w:rFonts w:cs="Arial"/>
          <w:b w:val="0"/>
        </w:rPr>
      </w:pPr>
      <w:r w:rsidRPr="00C2396E">
        <w:rPr>
          <w:rFonts w:cs="Arial"/>
        </w:rPr>
        <w:t xml:space="preserve">Whether the proposal results in an unnecessary restriction of competition among health practitioners </w:t>
      </w:r>
    </w:p>
    <w:p w:rsidR="00A23C60" w:rsidRPr="00C2396E" w:rsidRDefault="00A23C60" w:rsidP="00A23C60">
      <w:pPr>
        <w:pStyle w:val="AHPRAHeadline"/>
        <w:spacing w:before="200"/>
        <w:outlineLvl w:val="0"/>
        <w:rPr>
          <w:rFonts w:cs="Arial"/>
          <w:b/>
          <w:color w:val="auto"/>
          <w:sz w:val="20"/>
          <w:szCs w:val="20"/>
        </w:rPr>
      </w:pPr>
      <w:r w:rsidRPr="00C2396E">
        <w:rPr>
          <w:rFonts w:cs="Arial"/>
          <w:b/>
          <w:color w:val="auto"/>
          <w:sz w:val="20"/>
          <w:szCs w:val="20"/>
        </w:rPr>
        <w:t>Board assessment</w:t>
      </w:r>
    </w:p>
    <w:p w:rsidR="00A23C60" w:rsidRDefault="00A23C60" w:rsidP="00A23C60">
      <w:pPr>
        <w:pStyle w:val="CommentText"/>
        <w:spacing w:before="200"/>
        <w:rPr>
          <w:rFonts w:cs="Arial"/>
        </w:rPr>
      </w:pPr>
      <w:r w:rsidRPr="00C2396E">
        <w:rPr>
          <w:rFonts w:cs="Arial"/>
        </w:rPr>
        <w:t xml:space="preserve">The </w:t>
      </w:r>
      <w:r>
        <w:rPr>
          <w:rFonts w:cs="Arial"/>
        </w:rPr>
        <w:t xml:space="preserve">proposal will not restrict competition as it will apply to all registered medical practitioners.  </w:t>
      </w:r>
    </w:p>
    <w:p w:rsidR="00A23C60" w:rsidRPr="00C2396E" w:rsidRDefault="00A23C60" w:rsidP="00A23C60">
      <w:pPr>
        <w:pStyle w:val="AHPRASubhead"/>
        <w:numPr>
          <w:ilvl w:val="0"/>
          <w:numId w:val="44"/>
        </w:numPr>
        <w:spacing w:before="200"/>
        <w:ind w:left="426" w:hanging="426"/>
        <w:rPr>
          <w:rFonts w:cs="Arial"/>
          <w:b w:val="0"/>
        </w:rPr>
      </w:pPr>
      <w:r w:rsidRPr="00C2396E">
        <w:rPr>
          <w:rFonts w:cs="Arial"/>
        </w:rPr>
        <w:t xml:space="preserve">Whether the proposal results in an unnecessary restriction of consumer choice </w:t>
      </w:r>
    </w:p>
    <w:p w:rsidR="00A23C60" w:rsidRPr="00C2396E" w:rsidRDefault="00A23C60" w:rsidP="00A23C60">
      <w:pPr>
        <w:pStyle w:val="AHPRAHeadline"/>
        <w:spacing w:before="200"/>
        <w:outlineLvl w:val="0"/>
        <w:rPr>
          <w:rFonts w:cs="Arial"/>
          <w:b/>
          <w:color w:val="auto"/>
          <w:sz w:val="20"/>
          <w:szCs w:val="20"/>
        </w:rPr>
      </w:pPr>
      <w:r w:rsidRPr="00C2396E">
        <w:rPr>
          <w:rFonts w:cs="Arial"/>
          <w:b/>
          <w:color w:val="auto"/>
          <w:sz w:val="20"/>
          <w:szCs w:val="20"/>
        </w:rPr>
        <w:t>Board assessment</w:t>
      </w:r>
    </w:p>
    <w:p w:rsidR="00A23C60" w:rsidRDefault="00A23C60" w:rsidP="00A23C60">
      <w:pPr>
        <w:pStyle w:val="TableText"/>
        <w:keepNext w:val="0"/>
        <w:spacing w:before="200" w:after="200"/>
        <w:rPr>
          <w:rFonts w:ascii="Arial" w:hAnsi="Arial" w:cs="Arial"/>
          <w:szCs w:val="20"/>
        </w:rPr>
      </w:pPr>
      <w:r w:rsidRPr="000F648E">
        <w:rPr>
          <w:rFonts w:ascii="Arial" w:hAnsi="Arial" w:cs="Arial"/>
          <w:szCs w:val="20"/>
        </w:rPr>
        <w:t>The proposal will not result in any unnecessary restrictions of consumer choice as the revised guidelines</w:t>
      </w:r>
      <w:r w:rsidR="00310C3D">
        <w:rPr>
          <w:rFonts w:ascii="Arial" w:hAnsi="Arial" w:cs="Arial"/>
          <w:szCs w:val="20"/>
        </w:rPr>
        <w:t xml:space="preserve"> will</w:t>
      </w:r>
      <w:r w:rsidRPr="000F648E">
        <w:rPr>
          <w:rFonts w:ascii="Arial" w:hAnsi="Arial" w:cs="Arial"/>
          <w:szCs w:val="20"/>
        </w:rPr>
        <w:t xml:space="preserve"> apply to all registered medical practitioners.</w:t>
      </w:r>
    </w:p>
    <w:p w:rsidR="00A23C60" w:rsidRDefault="00A23C60" w:rsidP="00A23C60">
      <w:pPr>
        <w:pStyle w:val="TableText"/>
        <w:keepNext w:val="0"/>
        <w:spacing w:before="200" w:after="200"/>
        <w:rPr>
          <w:rFonts w:ascii="Arial" w:hAnsi="Arial" w:cs="Arial"/>
          <w:szCs w:val="20"/>
        </w:rPr>
      </w:pPr>
      <w:r>
        <w:rPr>
          <w:rFonts w:ascii="Arial" w:hAnsi="Arial" w:cs="Arial"/>
          <w:szCs w:val="20"/>
        </w:rPr>
        <w:t>The proposal should potentially improve a consumer’s confidence that all registered medical practitioners are held to the same ethical and professional standards of conduct.</w:t>
      </w:r>
    </w:p>
    <w:p w:rsidR="00095A24" w:rsidRDefault="00095A24" w:rsidP="00A23C60">
      <w:pPr>
        <w:pStyle w:val="TableText"/>
        <w:keepNext w:val="0"/>
        <w:spacing w:before="200" w:after="200"/>
        <w:rPr>
          <w:rFonts w:ascii="Arial" w:hAnsi="Arial" w:cs="Arial"/>
          <w:szCs w:val="20"/>
        </w:rPr>
        <w:sectPr w:rsidR="00095A24" w:rsidSect="00320B6B">
          <w:headerReference w:type="even" r:id="rId28"/>
          <w:headerReference w:type="default" r:id="rId29"/>
          <w:footerReference w:type="default" r:id="rId30"/>
          <w:headerReference w:type="first" r:id="rId31"/>
          <w:footerReference w:type="first" r:id="rId32"/>
          <w:pgSz w:w="11906" w:h="16838" w:code="9"/>
          <w:pgMar w:top="1440" w:right="1440" w:bottom="1440" w:left="1440" w:header="709" w:footer="464" w:gutter="0"/>
          <w:cols w:space="708"/>
          <w:titlePg/>
          <w:docGrid w:linePitch="360"/>
        </w:sectPr>
      </w:pPr>
    </w:p>
    <w:p w:rsidR="00A23C60" w:rsidRPr="001E34A9" w:rsidRDefault="00A23C60" w:rsidP="00A23C60">
      <w:pPr>
        <w:pStyle w:val="TableText"/>
        <w:keepNext w:val="0"/>
        <w:spacing w:before="200" w:after="200"/>
        <w:rPr>
          <w:rFonts w:ascii="Arial" w:hAnsi="Arial" w:cs="Arial"/>
          <w:szCs w:val="20"/>
        </w:rPr>
      </w:pPr>
    </w:p>
    <w:p w:rsidR="00A23C60" w:rsidRPr="00C2396E" w:rsidRDefault="00A23C60" w:rsidP="00A23C60">
      <w:pPr>
        <w:pStyle w:val="AHPRASubhead"/>
        <w:numPr>
          <w:ilvl w:val="0"/>
          <w:numId w:val="44"/>
        </w:numPr>
        <w:spacing w:before="200"/>
        <w:ind w:left="426" w:hanging="426"/>
        <w:rPr>
          <w:rFonts w:cs="Arial"/>
          <w:b w:val="0"/>
        </w:rPr>
      </w:pPr>
      <w:r w:rsidRPr="00C2396E">
        <w:rPr>
          <w:rFonts w:cs="Arial"/>
        </w:rPr>
        <w:lastRenderedPageBreak/>
        <w:t xml:space="preserve">Whether the overall costs of the proposal to members of the public and/or registrants and/or governments are reasonable in relation to the benefits to be achieved </w:t>
      </w:r>
    </w:p>
    <w:p w:rsidR="00A23C60" w:rsidRDefault="00A23C60" w:rsidP="00A23C60">
      <w:pPr>
        <w:pStyle w:val="AHPRAHeadline"/>
        <w:spacing w:before="200"/>
        <w:outlineLvl w:val="0"/>
        <w:rPr>
          <w:rFonts w:cs="Arial"/>
          <w:b/>
          <w:color w:val="auto"/>
          <w:sz w:val="20"/>
          <w:szCs w:val="20"/>
        </w:rPr>
      </w:pPr>
      <w:r w:rsidRPr="00C2396E">
        <w:rPr>
          <w:rFonts w:cs="Arial"/>
          <w:b/>
          <w:color w:val="auto"/>
          <w:sz w:val="20"/>
          <w:szCs w:val="20"/>
        </w:rPr>
        <w:t>Board assessment</w:t>
      </w:r>
    </w:p>
    <w:p w:rsidR="00A23C60" w:rsidRDefault="00A23C60" w:rsidP="00A23C60">
      <w:pPr>
        <w:pStyle w:val="TableText"/>
        <w:keepNext w:val="0"/>
        <w:spacing w:before="200" w:after="200"/>
        <w:rPr>
          <w:rFonts w:ascii="Arial" w:hAnsi="Arial" w:cs="Arial"/>
          <w:color w:val="auto"/>
          <w:szCs w:val="20"/>
        </w:rPr>
      </w:pPr>
      <w:r w:rsidRPr="00C94CAC">
        <w:rPr>
          <w:rFonts w:ascii="Arial" w:hAnsi="Arial" w:cs="Arial"/>
          <w:color w:val="auto"/>
          <w:szCs w:val="20"/>
        </w:rPr>
        <w:t xml:space="preserve">The Board considered the overall costs of the draft revised </w:t>
      </w:r>
      <w:r>
        <w:rPr>
          <w:rFonts w:ascii="Arial" w:hAnsi="Arial" w:cs="Arial"/>
          <w:color w:val="auto"/>
          <w:szCs w:val="20"/>
        </w:rPr>
        <w:t>guidelines</w:t>
      </w:r>
      <w:r w:rsidRPr="00C94CAC">
        <w:rPr>
          <w:rFonts w:ascii="Arial" w:hAnsi="Arial" w:cs="Arial"/>
          <w:color w:val="auto"/>
          <w:szCs w:val="20"/>
        </w:rPr>
        <w:t xml:space="preserve"> to members of the public, medical practitioners and governments and concluded that the likely costs are minimal </w:t>
      </w:r>
      <w:r>
        <w:rPr>
          <w:rFonts w:ascii="Arial" w:hAnsi="Arial" w:cs="Arial"/>
          <w:color w:val="auto"/>
          <w:szCs w:val="20"/>
        </w:rPr>
        <w:t xml:space="preserve">as the Board is not proposing to make any significant changes to the current standards of ethical and professional conduct expected of all registered medical practitioners.  </w:t>
      </w:r>
    </w:p>
    <w:p w:rsidR="00A23C60" w:rsidRDefault="00A23C60" w:rsidP="00A23C60">
      <w:pPr>
        <w:pStyle w:val="TableText"/>
        <w:keepNext w:val="0"/>
        <w:spacing w:before="200" w:after="200"/>
        <w:rPr>
          <w:rFonts w:ascii="Arial" w:hAnsi="Arial" w:cs="Arial"/>
          <w:color w:val="auto"/>
          <w:szCs w:val="20"/>
        </w:rPr>
      </w:pPr>
      <w:r w:rsidRPr="00D05EC3">
        <w:rPr>
          <w:rFonts w:ascii="Arial" w:hAnsi="Arial" w:cs="Arial"/>
          <w:color w:val="auto"/>
          <w:szCs w:val="20"/>
        </w:rPr>
        <w:t>Subject to stakeholder fe</w:t>
      </w:r>
      <w:r>
        <w:rPr>
          <w:rFonts w:ascii="Arial" w:hAnsi="Arial" w:cs="Arial"/>
          <w:color w:val="auto"/>
          <w:szCs w:val="20"/>
        </w:rPr>
        <w:t>edback on the proposed revised guidelines</w:t>
      </w:r>
      <w:r w:rsidRPr="00D05EC3">
        <w:rPr>
          <w:rFonts w:ascii="Arial" w:hAnsi="Arial" w:cs="Arial"/>
          <w:color w:val="auto"/>
          <w:szCs w:val="20"/>
        </w:rPr>
        <w:t xml:space="preserve">, </w:t>
      </w:r>
      <w:r>
        <w:rPr>
          <w:rFonts w:ascii="Arial" w:hAnsi="Arial" w:cs="Arial"/>
          <w:color w:val="auto"/>
          <w:szCs w:val="20"/>
        </w:rPr>
        <w:t>the benefits of having clear guidelines for medical practitioners on the principles that underpin good medical practice outweigh any minimal costs related to medical practitioners and other stakeholders being required to become familiar with the revised guidelines, if approved.</w:t>
      </w:r>
    </w:p>
    <w:p w:rsidR="00A23C60" w:rsidRPr="00F26A79" w:rsidRDefault="00A23C60" w:rsidP="00A23C60">
      <w:pPr>
        <w:pStyle w:val="AHPRASubhead"/>
        <w:numPr>
          <w:ilvl w:val="0"/>
          <w:numId w:val="44"/>
        </w:numPr>
        <w:spacing w:before="200"/>
        <w:ind w:left="426" w:hanging="426"/>
        <w:rPr>
          <w:rFonts w:cs="Arial"/>
          <w:b w:val="0"/>
        </w:rPr>
      </w:pPr>
      <w:r w:rsidRPr="00C2396E">
        <w:rPr>
          <w:rFonts w:cs="Arial"/>
        </w:rPr>
        <w:t xml:space="preserve">Whether the </w:t>
      </w:r>
      <w:r>
        <w:rPr>
          <w:rFonts w:cs="Arial"/>
        </w:rPr>
        <w:t xml:space="preserve">proposal’s </w:t>
      </w:r>
      <w:r w:rsidRPr="00C2396E">
        <w:rPr>
          <w:rFonts w:cs="Arial"/>
        </w:rPr>
        <w:t>requirements are clearly stated using ‘plain language’ to reduce uncertainty, enable the public to understand the requirements, and enable understanding and compliance by registrants</w:t>
      </w:r>
    </w:p>
    <w:p w:rsidR="00A23C60" w:rsidRPr="00C2396E" w:rsidRDefault="00A23C60" w:rsidP="00A23C60">
      <w:pPr>
        <w:pStyle w:val="AHPRAHeadline"/>
        <w:spacing w:before="200"/>
        <w:outlineLvl w:val="0"/>
        <w:rPr>
          <w:rFonts w:cs="Arial"/>
          <w:b/>
          <w:color w:val="auto"/>
          <w:sz w:val="20"/>
          <w:szCs w:val="20"/>
        </w:rPr>
      </w:pPr>
      <w:r w:rsidRPr="00C2396E">
        <w:rPr>
          <w:rFonts w:cs="Arial"/>
          <w:b/>
          <w:color w:val="auto"/>
          <w:sz w:val="20"/>
          <w:szCs w:val="20"/>
        </w:rPr>
        <w:t>Board assessment</w:t>
      </w:r>
    </w:p>
    <w:p w:rsidR="00A23C60" w:rsidRPr="00C2396E" w:rsidRDefault="00A23C60" w:rsidP="00A23C60">
      <w:pPr>
        <w:pStyle w:val="TableText"/>
        <w:keepNext w:val="0"/>
        <w:spacing w:before="200" w:after="200"/>
        <w:rPr>
          <w:rFonts w:ascii="Arial" w:hAnsi="Arial" w:cs="Arial"/>
          <w:color w:val="auto"/>
          <w:szCs w:val="20"/>
        </w:rPr>
      </w:pPr>
      <w:r w:rsidRPr="00C2396E">
        <w:rPr>
          <w:rFonts w:ascii="Arial" w:hAnsi="Arial" w:cs="Arial"/>
          <w:color w:val="auto"/>
          <w:szCs w:val="20"/>
        </w:rPr>
        <w:t>The Board consider</w:t>
      </w:r>
      <w:r>
        <w:rPr>
          <w:rFonts w:ascii="Arial" w:hAnsi="Arial" w:cs="Arial"/>
          <w:color w:val="auto"/>
          <w:szCs w:val="20"/>
        </w:rPr>
        <w:t>s</w:t>
      </w:r>
      <w:r w:rsidRPr="00C2396E">
        <w:rPr>
          <w:rFonts w:ascii="Arial" w:hAnsi="Arial" w:cs="Arial"/>
          <w:color w:val="auto"/>
          <w:szCs w:val="20"/>
        </w:rPr>
        <w:t xml:space="preserve"> the </w:t>
      </w:r>
      <w:r>
        <w:rPr>
          <w:rFonts w:ascii="Arial" w:hAnsi="Arial" w:cs="Arial"/>
          <w:color w:val="auto"/>
          <w:szCs w:val="20"/>
        </w:rPr>
        <w:t>draft revised guidelines have</w:t>
      </w:r>
      <w:r w:rsidRPr="00C2396E">
        <w:rPr>
          <w:rFonts w:ascii="Arial" w:hAnsi="Arial" w:cs="Arial"/>
          <w:color w:val="auto"/>
          <w:szCs w:val="20"/>
        </w:rPr>
        <w:t xml:space="preserve"> been written in plain English that will help practitioners to understand </w:t>
      </w:r>
      <w:r>
        <w:rPr>
          <w:rFonts w:ascii="Arial" w:hAnsi="Arial" w:cs="Arial"/>
          <w:color w:val="auto"/>
          <w:szCs w:val="20"/>
        </w:rPr>
        <w:t>the standards of good medical practice expected by the Board, their professional peers and the community</w:t>
      </w:r>
      <w:r w:rsidRPr="00C2396E">
        <w:rPr>
          <w:rFonts w:ascii="Arial" w:hAnsi="Arial" w:cs="Arial"/>
          <w:color w:val="auto"/>
          <w:szCs w:val="20"/>
        </w:rPr>
        <w:t>. The Board</w:t>
      </w:r>
      <w:r>
        <w:rPr>
          <w:rFonts w:ascii="Arial" w:hAnsi="Arial" w:cs="Arial"/>
          <w:color w:val="auto"/>
          <w:szCs w:val="20"/>
        </w:rPr>
        <w:t xml:space="preserve"> has reworded and restructured the guidelines</w:t>
      </w:r>
      <w:r w:rsidRPr="00C2396E">
        <w:rPr>
          <w:rFonts w:ascii="Arial" w:hAnsi="Arial" w:cs="Arial"/>
          <w:color w:val="auto"/>
          <w:szCs w:val="20"/>
        </w:rPr>
        <w:t xml:space="preserve"> </w:t>
      </w:r>
      <w:r>
        <w:rPr>
          <w:rFonts w:ascii="Arial" w:hAnsi="Arial" w:cs="Arial"/>
          <w:color w:val="auto"/>
          <w:szCs w:val="20"/>
        </w:rPr>
        <w:t>to improve readability and to make clearer the standards expected of medical practitioners.</w:t>
      </w:r>
    </w:p>
    <w:p w:rsidR="00A23C60" w:rsidRPr="00C2396E" w:rsidRDefault="00A23C60" w:rsidP="00A23C60">
      <w:pPr>
        <w:pStyle w:val="AHPRASubhead"/>
        <w:numPr>
          <w:ilvl w:val="0"/>
          <w:numId w:val="44"/>
        </w:numPr>
        <w:spacing w:before="200"/>
        <w:ind w:left="426" w:hanging="426"/>
        <w:rPr>
          <w:rFonts w:cs="Arial"/>
          <w:b w:val="0"/>
        </w:rPr>
      </w:pPr>
      <w:r w:rsidRPr="00C2396E">
        <w:rPr>
          <w:rFonts w:cs="Arial"/>
        </w:rPr>
        <w:t xml:space="preserve">Whether the Board has procedures in place to ensure that the proposed registration standard, code or guideline remains relevant and effective over time </w:t>
      </w:r>
    </w:p>
    <w:p w:rsidR="00A23C60" w:rsidRPr="00C2396E" w:rsidRDefault="00A23C60" w:rsidP="00A23C60">
      <w:pPr>
        <w:pStyle w:val="AHPRAHeadline"/>
        <w:spacing w:before="200"/>
        <w:outlineLvl w:val="0"/>
        <w:rPr>
          <w:rFonts w:cs="Arial"/>
          <w:b/>
          <w:color w:val="auto"/>
          <w:sz w:val="20"/>
          <w:szCs w:val="20"/>
        </w:rPr>
      </w:pPr>
      <w:r w:rsidRPr="00C2396E">
        <w:rPr>
          <w:rFonts w:cs="Arial"/>
          <w:b/>
          <w:color w:val="auto"/>
          <w:sz w:val="20"/>
          <w:szCs w:val="20"/>
        </w:rPr>
        <w:t>Board assessment</w:t>
      </w:r>
    </w:p>
    <w:p w:rsidR="00A23C60" w:rsidRPr="00C2396E" w:rsidRDefault="00A23C60" w:rsidP="00A23C60">
      <w:pPr>
        <w:pStyle w:val="TableText"/>
        <w:keepNext w:val="0"/>
        <w:spacing w:before="200" w:after="200"/>
        <w:rPr>
          <w:rFonts w:ascii="Arial" w:hAnsi="Arial" w:cs="Arial"/>
          <w:color w:val="auto"/>
          <w:szCs w:val="20"/>
        </w:rPr>
      </w:pPr>
      <w:r w:rsidRPr="00C2396E">
        <w:rPr>
          <w:rFonts w:ascii="Arial" w:hAnsi="Arial" w:cs="Arial"/>
          <w:color w:val="auto"/>
          <w:szCs w:val="20"/>
        </w:rPr>
        <w:t>If approved, the Board will review th</w:t>
      </w:r>
      <w:r>
        <w:rPr>
          <w:rFonts w:ascii="Arial" w:hAnsi="Arial" w:cs="Arial"/>
          <w:color w:val="auto"/>
          <w:szCs w:val="20"/>
        </w:rPr>
        <w:t>e revised guidelines</w:t>
      </w:r>
      <w:r w:rsidRPr="00C2396E">
        <w:rPr>
          <w:rFonts w:ascii="Arial" w:hAnsi="Arial" w:cs="Arial"/>
          <w:color w:val="auto"/>
          <w:szCs w:val="20"/>
        </w:rPr>
        <w:t xml:space="preserve"> at least every </w:t>
      </w:r>
      <w:r>
        <w:rPr>
          <w:rFonts w:ascii="Arial" w:hAnsi="Arial" w:cs="Arial"/>
          <w:color w:val="auto"/>
          <w:szCs w:val="20"/>
        </w:rPr>
        <w:t>five</w:t>
      </w:r>
      <w:r w:rsidRPr="00C2396E">
        <w:rPr>
          <w:rFonts w:ascii="Arial" w:hAnsi="Arial" w:cs="Arial"/>
          <w:color w:val="auto"/>
          <w:szCs w:val="20"/>
        </w:rPr>
        <w:t xml:space="preserve"> years, including an assessment against the objectives and guiding principles in the National Law and the COAG principles </w:t>
      </w:r>
      <w:r>
        <w:rPr>
          <w:rFonts w:ascii="Arial" w:hAnsi="Arial" w:cs="Arial"/>
          <w:color w:val="auto"/>
          <w:szCs w:val="20"/>
        </w:rPr>
        <w:t>for best practice regulation.</w:t>
      </w:r>
    </w:p>
    <w:p w:rsidR="00A23C60" w:rsidRPr="004C5D3A" w:rsidRDefault="00A23C60" w:rsidP="00A23C60">
      <w:pPr>
        <w:pStyle w:val="TableText"/>
        <w:keepNext w:val="0"/>
        <w:spacing w:before="200" w:after="200"/>
        <w:rPr>
          <w:rFonts w:ascii="Arial" w:hAnsi="Arial" w:cs="Arial"/>
          <w:color w:val="auto"/>
          <w:szCs w:val="20"/>
        </w:rPr>
      </w:pPr>
      <w:r w:rsidRPr="00C2396E">
        <w:rPr>
          <w:rFonts w:ascii="Arial" w:hAnsi="Arial" w:cs="Arial"/>
          <w:color w:val="auto"/>
          <w:szCs w:val="20"/>
        </w:rPr>
        <w:t>However, the Board ma</w:t>
      </w:r>
      <w:r>
        <w:rPr>
          <w:rFonts w:ascii="Arial" w:hAnsi="Arial" w:cs="Arial"/>
          <w:color w:val="auto"/>
          <w:szCs w:val="20"/>
        </w:rPr>
        <w:t>y choose to review the guidelines</w:t>
      </w:r>
      <w:r w:rsidRPr="00C2396E">
        <w:rPr>
          <w:rFonts w:ascii="Arial" w:hAnsi="Arial" w:cs="Arial"/>
          <w:color w:val="auto"/>
          <w:szCs w:val="20"/>
        </w:rPr>
        <w:t xml:space="preserve"> earlier, in response to any issues which arise or new evidence which emerges to ensure the </w:t>
      </w:r>
      <w:r>
        <w:rPr>
          <w:rFonts w:ascii="Arial" w:hAnsi="Arial" w:cs="Arial"/>
          <w:color w:val="auto"/>
          <w:szCs w:val="20"/>
        </w:rPr>
        <w:t xml:space="preserve">guidelines </w:t>
      </w:r>
      <w:r w:rsidRPr="00C2396E">
        <w:rPr>
          <w:rFonts w:ascii="Arial" w:hAnsi="Arial" w:cs="Arial"/>
          <w:color w:val="auto"/>
          <w:szCs w:val="20"/>
        </w:rPr>
        <w:t>continued relevance and workability.</w:t>
      </w:r>
      <w:r w:rsidRPr="004C5D3A">
        <w:rPr>
          <w:rFonts w:ascii="Arial" w:hAnsi="Arial" w:cs="Arial"/>
          <w:color w:val="auto"/>
          <w:szCs w:val="20"/>
        </w:rPr>
        <w:t xml:space="preserve">  </w:t>
      </w:r>
    </w:p>
    <w:p w:rsidR="00A23C60" w:rsidRPr="00E41C30" w:rsidRDefault="00A23C60" w:rsidP="00A23C60">
      <w:pPr>
        <w:rPr>
          <w:rFonts w:ascii="Arial" w:hAnsi="Arial" w:cs="Arial"/>
        </w:rPr>
      </w:pPr>
    </w:p>
    <w:p w:rsidR="00A23C60" w:rsidRPr="006C0F69" w:rsidRDefault="00A23C60" w:rsidP="006C0F69">
      <w:pPr>
        <w:spacing w:line="240" w:lineRule="auto"/>
        <w:rPr>
          <w:color w:val="54575A" w:themeColor="text1"/>
        </w:rPr>
      </w:pPr>
    </w:p>
    <w:sectPr w:rsidR="00A23C60" w:rsidRPr="006C0F69" w:rsidSect="00095A24">
      <w:footerReference w:type="default" r:id="rId33"/>
      <w:type w:val="continuous"/>
      <w:pgSz w:w="11906" w:h="16838" w:code="9"/>
      <w:pgMar w:top="1440" w:right="1440" w:bottom="1440" w:left="1440" w:header="709" w:footer="4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B8" w:rsidRDefault="001765B8" w:rsidP="0040306F">
      <w:pPr>
        <w:spacing w:after="0" w:line="240" w:lineRule="auto"/>
      </w:pPr>
      <w:r>
        <w:separator/>
      </w:r>
    </w:p>
  </w:endnote>
  <w:endnote w:type="continuationSeparator" w:id="0">
    <w:p w:rsidR="001765B8" w:rsidRDefault="001765B8" w:rsidP="0040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Default="001765B8" w:rsidP="00A11E78">
    <w:pPr>
      <w:pStyle w:val="Footer"/>
      <w:rPr>
        <w:b/>
        <w:color w:val="54575A" w:themeColor="text1"/>
        <w:sz w:val="28"/>
      </w:rPr>
    </w:pPr>
  </w:p>
  <w:p w:rsidR="001765B8" w:rsidRPr="00A11E78" w:rsidRDefault="002D2B88" w:rsidP="00A11E78">
    <w:pPr>
      <w:pStyle w:val="Footer"/>
      <w:rPr>
        <w:b/>
        <w:color w:val="54575A" w:themeColor="text1"/>
        <w:sz w:val="18"/>
      </w:rPr>
    </w:pPr>
    <w:r w:rsidRPr="00A11E78">
      <w:rPr>
        <w:b/>
        <w:color w:val="54575A" w:themeColor="text1"/>
        <w:sz w:val="28"/>
      </w:rPr>
      <w:fldChar w:fldCharType="begin"/>
    </w:r>
    <w:r w:rsidR="001765B8" w:rsidRPr="00A11E78">
      <w:rPr>
        <w:b/>
        <w:color w:val="54575A" w:themeColor="text1"/>
        <w:sz w:val="28"/>
      </w:rPr>
      <w:instrText xml:space="preserve"> PAGE   \* MERGEFORMAT </w:instrText>
    </w:r>
    <w:r w:rsidRPr="00A11E78">
      <w:rPr>
        <w:b/>
        <w:color w:val="54575A" w:themeColor="text1"/>
        <w:sz w:val="28"/>
      </w:rPr>
      <w:fldChar w:fldCharType="separate"/>
    </w:r>
    <w:r w:rsidR="001765B8">
      <w:rPr>
        <w:b/>
        <w:noProof/>
        <w:color w:val="54575A" w:themeColor="text1"/>
        <w:sz w:val="28"/>
      </w:rPr>
      <w:t>2</w:t>
    </w:r>
    <w:r w:rsidRPr="00A11E78">
      <w:rPr>
        <w:b/>
        <w:noProof/>
        <w:color w:val="54575A" w:themeColor="text1"/>
        <w:sz w:val="28"/>
      </w:rPr>
      <w:fldChar w:fldCharType="end"/>
    </w:r>
    <w:r w:rsidR="001765B8" w:rsidRPr="00A11E78">
      <w:rPr>
        <w:b/>
        <w:noProof/>
        <w:color w:val="54575A" w:themeColor="text1"/>
        <w:sz w:val="28"/>
      </w:rPr>
      <w:t xml:space="preserve">  </w:t>
    </w:r>
    <w:r w:rsidR="001765B8" w:rsidRPr="00A11E78">
      <w:rPr>
        <w:b/>
        <w:noProof/>
        <w:color w:val="54575A" w:themeColor="text1"/>
        <w:sz w:val="16"/>
      </w:rPr>
      <w:t xml:space="preserve">Guidelines: Sexual boundaries in the doctor-patient relationship | </w:t>
    </w:r>
    <w:r w:rsidR="001765B8" w:rsidRPr="00A11E78">
      <w:rPr>
        <w:noProof/>
        <w:color w:val="54575A" w:themeColor="text1"/>
        <w:sz w:val="16"/>
      </w:rPr>
      <w:t>Medical Board of Australia</w:t>
    </w:r>
  </w:p>
  <w:p w:rsidR="001765B8" w:rsidRDefault="00176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Pr="00A00466" w:rsidRDefault="001765B8" w:rsidP="00A11E78">
    <w:pPr>
      <w:pStyle w:val="Footer"/>
      <w:rPr>
        <w:rStyle w:val="Heading3Char"/>
        <w:sz w:val="32"/>
      </w:rPr>
    </w:pPr>
  </w:p>
  <w:p w:rsidR="001765B8" w:rsidRPr="007F2056" w:rsidRDefault="001765B8" w:rsidP="00A23C60">
    <w:pPr>
      <w:pStyle w:val="AHPRAfirstpagefooter"/>
      <w:tabs>
        <w:tab w:val="left" w:pos="2364"/>
        <w:tab w:val="center" w:pos="4703"/>
      </w:tabs>
      <w:spacing w:line="360" w:lineRule="auto"/>
      <w:rPr>
        <w:sz w:val="20"/>
      </w:rPr>
    </w:pPr>
    <w:r w:rsidRPr="007F2056">
      <w:t>Medical Board of Australia</w:t>
    </w:r>
  </w:p>
  <w:p w:rsidR="001765B8" w:rsidRDefault="001765B8" w:rsidP="00A23C60">
    <w:pPr>
      <w:pStyle w:val="AHPRAfirstpagefooter"/>
      <w:tabs>
        <w:tab w:val="center" w:pos="3686"/>
        <w:tab w:val="right" w:pos="9356"/>
      </w:tabs>
      <w:rPr>
        <w:b w:val="0"/>
        <w:i/>
        <w:szCs w:val="16"/>
      </w:rPr>
    </w:pPr>
    <w:r w:rsidRPr="007F2056">
      <w:rPr>
        <w:b w:val="0"/>
        <w:szCs w:val="16"/>
      </w:rPr>
      <w:t xml:space="preserve">Public consultation: Revised draft </w:t>
    </w:r>
    <w:r w:rsidRPr="007F2056">
      <w:rPr>
        <w:b w:val="0"/>
        <w:i/>
        <w:szCs w:val="16"/>
      </w:rPr>
      <w:t>Guidelines: Sexual boundaries in the doctor-patient relationship</w:t>
    </w:r>
  </w:p>
  <w:p w:rsidR="001765B8" w:rsidRPr="007F2056" w:rsidRDefault="001765B8" w:rsidP="00A23C60">
    <w:pPr>
      <w:pStyle w:val="AHPRAfirstpagefooter"/>
      <w:tabs>
        <w:tab w:val="center" w:pos="3686"/>
        <w:tab w:val="right" w:pos="9356"/>
      </w:tabs>
      <w:spacing w:before="80"/>
      <w:rPr>
        <w:b w:val="0"/>
        <w:szCs w:val="16"/>
      </w:rPr>
    </w:pPr>
    <w:r w:rsidRPr="007F2056">
      <w:rPr>
        <w:b w:val="0"/>
        <w:szCs w:val="16"/>
      </w:rPr>
      <w:t>Page</w:t>
    </w:r>
    <w:r>
      <w:rPr>
        <w:b w:val="0"/>
        <w:szCs w:val="16"/>
      </w:rPr>
      <w:t xml:space="preserve"> </w:t>
    </w:r>
    <w:r w:rsidR="002D2B88" w:rsidRPr="00264EFB">
      <w:rPr>
        <w:b w:val="0"/>
        <w:szCs w:val="16"/>
      </w:rPr>
      <w:fldChar w:fldCharType="begin"/>
    </w:r>
    <w:r w:rsidRPr="00264EFB">
      <w:rPr>
        <w:b w:val="0"/>
        <w:szCs w:val="16"/>
      </w:rPr>
      <w:instrText xml:space="preserve"> PAGE   \* MERGEFORMAT </w:instrText>
    </w:r>
    <w:r w:rsidR="002D2B88" w:rsidRPr="00264EFB">
      <w:rPr>
        <w:b w:val="0"/>
        <w:szCs w:val="16"/>
      </w:rPr>
      <w:fldChar w:fldCharType="separate"/>
    </w:r>
    <w:r w:rsidR="005974CD">
      <w:rPr>
        <w:b w:val="0"/>
        <w:noProof/>
        <w:szCs w:val="16"/>
      </w:rPr>
      <w:t>2</w:t>
    </w:r>
    <w:r w:rsidR="002D2B88" w:rsidRPr="00264EFB">
      <w:rPr>
        <w:b w:val="0"/>
        <w:noProof/>
        <w:szCs w:val="16"/>
      </w:rPr>
      <w:fldChar w:fldCharType="end"/>
    </w:r>
    <w:r w:rsidRPr="007F2056">
      <w:rPr>
        <w:b w:val="0"/>
        <w:szCs w:val="16"/>
      </w:rPr>
      <w:t xml:space="preserve"> of</w:t>
    </w:r>
    <w:r w:rsidRPr="00264EFB">
      <w:rPr>
        <w:b w:val="0"/>
        <w:szCs w:val="16"/>
      </w:rPr>
      <w:t xml:space="preserve"> </w:t>
    </w:r>
    <w:r w:rsidR="002D2B88" w:rsidRPr="00264EFB">
      <w:rPr>
        <w:b w:val="0"/>
      </w:rPr>
      <w:fldChar w:fldCharType="begin"/>
    </w:r>
    <w:r w:rsidRPr="00264EFB">
      <w:rPr>
        <w:b w:val="0"/>
      </w:rPr>
      <w:instrText xml:space="preserve"> NUMPAGES  </w:instrText>
    </w:r>
    <w:r w:rsidR="002D2B88" w:rsidRPr="00264EFB">
      <w:rPr>
        <w:b w:val="0"/>
      </w:rPr>
      <w:fldChar w:fldCharType="separate"/>
    </w:r>
    <w:r w:rsidR="005974CD">
      <w:rPr>
        <w:b w:val="0"/>
        <w:noProof/>
      </w:rPr>
      <w:t>14</w:t>
    </w:r>
    <w:r w:rsidR="002D2B88" w:rsidRPr="00264EFB">
      <w:rPr>
        <w:b w:val="0"/>
        <w:noProof/>
      </w:rPr>
      <w:fldChar w:fldCharType="end"/>
    </w:r>
  </w:p>
  <w:p w:rsidR="001765B8" w:rsidRDefault="00176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Pr="00A00466" w:rsidRDefault="001765B8">
    <w:pPr>
      <w:pStyle w:val="Footer"/>
      <w:rPr>
        <w:sz w:val="32"/>
      </w:rPr>
    </w:pPr>
  </w:p>
  <w:p w:rsidR="001765B8" w:rsidRPr="007F2056" w:rsidRDefault="001765B8" w:rsidP="00A23C60">
    <w:pPr>
      <w:pStyle w:val="AHPRAfirstpagefooter"/>
      <w:tabs>
        <w:tab w:val="left" w:pos="2364"/>
        <w:tab w:val="center" w:pos="4703"/>
      </w:tabs>
      <w:spacing w:line="360" w:lineRule="auto"/>
      <w:rPr>
        <w:sz w:val="20"/>
      </w:rPr>
    </w:pPr>
    <w:r w:rsidRPr="007F2056">
      <w:t>Medical Board of Australia</w:t>
    </w:r>
  </w:p>
  <w:p w:rsidR="001765B8" w:rsidRPr="007F2056" w:rsidRDefault="001765B8" w:rsidP="00A23C60">
    <w:pPr>
      <w:pStyle w:val="AHPRAfirstpagefooter"/>
      <w:tabs>
        <w:tab w:val="center" w:pos="3686"/>
        <w:tab w:val="right" w:pos="9356"/>
      </w:tabs>
      <w:rPr>
        <w:b w:val="0"/>
        <w:i/>
        <w:szCs w:val="16"/>
      </w:rPr>
    </w:pPr>
    <w:r w:rsidRPr="007F2056">
      <w:rPr>
        <w:b w:val="0"/>
        <w:szCs w:val="16"/>
      </w:rPr>
      <w:t xml:space="preserve">Public consultation: Revised draft </w:t>
    </w:r>
    <w:r w:rsidRPr="007F2056">
      <w:rPr>
        <w:b w:val="0"/>
        <w:i/>
        <w:szCs w:val="16"/>
      </w:rPr>
      <w:t>Guidelines: Sexual boundaries in the doctor-patient relationship</w:t>
    </w:r>
  </w:p>
  <w:p w:rsidR="001765B8" w:rsidRDefault="001765B8" w:rsidP="00A23C60">
    <w:pPr>
      <w:pStyle w:val="Footer"/>
    </w:pPr>
  </w:p>
  <w:p w:rsidR="001765B8" w:rsidRDefault="001765B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Pr="00A00466" w:rsidRDefault="001765B8">
    <w:pPr>
      <w:pStyle w:val="Footer"/>
      <w:rPr>
        <w:sz w:val="32"/>
      </w:rPr>
    </w:pPr>
  </w:p>
  <w:p w:rsidR="001765B8" w:rsidRPr="00A11E78" w:rsidRDefault="002D2B88" w:rsidP="00821FE2">
    <w:pPr>
      <w:pStyle w:val="AHPRASubhead"/>
      <w:rPr>
        <w:color w:val="54575A" w:themeColor="text1"/>
        <w:sz w:val="18"/>
      </w:rPr>
    </w:pPr>
    <w:r w:rsidRPr="00821FE2">
      <w:rPr>
        <w:sz w:val="24"/>
      </w:rPr>
      <w:fldChar w:fldCharType="begin"/>
    </w:r>
    <w:r w:rsidR="001765B8" w:rsidRPr="00821FE2">
      <w:rPr>
        <w:sz w:val="24"/>
      </w:rPr>
      <w:instrText xml:space="preserve"> PAGE   \* MERGEFORMAT </w:instrText>
    </w:r>
    <w:r w:rsidRPr="00821FE2">
      <w:rPr>
        <w:sz w:val="24"/>
      </w:rPr>
      <w:fldChar w:fldCharType="separate"/>
    </w:r>
    <w:r w:rsidR="005974CD">
      <w:rPr>
        <w:noProof/>
        <w:sz w:val="24"/>
      </w:rPr>
      <w:t>1</w:t>
    </w:r>
    <w:r w:rsidRPr="00821FE2">
      <w:rPr>
        <w:sz w:val="24"/>
      </w:rPr>
      <w:fldChar w:fldCharType="end"/>
    </w:r>
    <w:r w:rsidR="001765B8" w:rsidRPr="00A11E78">
      <w:rPr>
        <w:noProof/>
        <w:color w:val="54575A" w:themeColor="text1"/>
      </w:rPr>
      <w:t xml:space="preserve">  </w:t>
    </w:r>
    <w:r w:rsidR="001765B8" w:rsidRPr="00A11E78">
      <w:rPr>
        <w:noProof/>
        <w:color w:val="54575A" w:themeColor="text1"/>
        <w:sz w:val="16"/>
      </w:rPr>
      <w:t>Guidelines: Sexual boundaries in the doctor-patient relationship</w:t>
    </w:r>
    <w:r w:rsidR="001765B8" w:rsidRPr="00821FE2">
      <w:rPr>
        <w:b w:val="0"/>
        <w:noProof/>
        <w:color w:val="54575A" w:themeColor="text1"/>
        <w:sz w:val="16"/>
      </w:rPr>
      <w:t xml:space="preserve"> |</w:t>
    </w:r>
    <w:r w:rsidR="001765B8" w:rsidRPr="00A11E78">
      <w:rPr>
        <w:noProof/>
        <w:color w:val="54575A" w:themeColor="text1"/>
        <w:sz w:val="16"/>
      </w:rPr>
      <w:t xml:space="preserve"> Medical Board of Australia</w:t>
    </w:r>
  </w:p>
  <w:p w:rsidR="001765B8" w:rsidRDefault="001765B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Pr="00A60999" w:rsidRDefault="001765B8" w:rsidP="00A60999">
    <w:pPr>
      <w:pStyle w:val="Footer"/>
      <w:rPr>
        <w:sz w:val="14"/>
      </w:rPr>
    </w:pPr>
  </w:p>
  <w:p w:rsidR="001765B8" w:rsidRDefault="002D2B88" w:rsidP="00A60999">
    <w:pPr>
      <w:pStyle w:val="AHPRASubhead"/>
      <w:spacing w:after="0"/>
      <w:rPr>
        <w:noProof/>
        <w:color w:val="54575A" w:themeColor="text1"/>
        <w:sz w:val="16"/>
      </w:rPr>
    </w:pPr>
    <w:r w:rsidRPr="00821FE2">
      <w:rPr>
        <w:sz w:val="24"/>
      </w:rPr>
      <w:fldChar w:fldCharType="begin"/>
    </w:r>
    <w:r w:rsidR="001765B8" w:rsidRPr="00821FE2">
      <w:rPr>
        <w:sz w:val="24"/>
      </w:rPr>
      <w:instrText xml:space="preserve"> PAGE   \* MERGEFORMAT </w:instrText>
    </w:r>
    <w:r w:rsidRPr="00821FE2">
      <w:rPr>
        <w:sz w:val="24"/>
      </w:rPr>
      <w:fldChar w:fldCharType="separate"/>
    </w:r>
    <w:r w:rsidR="005974CD">
      <w:rPr>
        <w:noProof/>
        <w:sz w:val="24"/>
      </w:rPr>
      <w:t>7</w:t>
    </w:r>
    <w:r w:rsidRPr="00821FE2">
      <w:rPr>
        <w:sz w:val="24"/>
      </w:rPr>
      <w:fldChar w:fldCharType="end"/>
    </w:r>
    <w:r w:rsidR="001765B8" w:rsidRPr="00A11E78">
      <w:rPr>
        <w:noProof/>
        <w:color w:val="54575A" w:themeColor="text1"/>
      </w:rPr>
      <w:t xml:space="preserve">  </w:t>
    </w:r>
    <w:r w:rsidR="001765B8" w:rsidRPr="00A11E78">
      <w:rPr>
        <w:noProof/>
        <w:color w:val="54575A" w:themeColor="text1"/>
        <w:sz w:val="16"/>
      </w:rPr>
      <w:t>Guidelines: Sexual boundaries in the doctor-patient relationship</w:t>
    </w:r>
    <w:r w:rsidR="001765B8" w:rsidRPr="00821FE2">
      <w:rPr>
        <w:b w:val="0"/>
        <w:noProof/>
        <w:color w:val="54575A" w:themeColor="text1"/>
        <w:sz w:val="16"/>
      </w:rPr>
      <w:t xml:space="preserve"> |</w:t>
    </w:r>
    <w:r w:rsidR="001765B8" w:rsidRPr="00A11E78">
      <w:rPr>
        <w:noProof/>
        <w:color w:val="54575A" w:themeColor="text1"/>
        <w:sz w:val="16"/>
      </w:rPr>
      <w:t xml:space="preserve"> Medical Board of Australia</w:t>
    </w:r>
  </w:p>
  <w:p w:rsidR="001765B8" w:rsidRPr="00A11E78" w:rsidRDefault="001765B8" w:rsidP="00A60999">
    <w:pPr>
      <w:pStyle w:val="AHPRASubhead"/>
      <w:rPr>
        <w:color w:val="54575A" w:themeColor="text1"/>
        <w:sz w:val="18"/>
      </w:rPr>
    </w:pPr>
  </w:p>
  <w:p w:rsidR="001765B8" w:rsidRPr="00A60999" w:rsidRDefault="001765B8">
    <w:pPr>
      <w:pStyle w:val="Footer"/>
      <w:rPr>
        <w:sz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Pr="007F2056" w:rsidRDefault="001765B8" w:rsidP="00320B6B">
    <w:pPr>
      <w:pStyle w:val="AHPRAfirstpagefooter"/>
      <w:tabs>
        <w:tab w:val="center" w:pos="3686"/>
        <w:tab w:val="right" w:pos="9356"/>
      </w:tabs>
      <w:spacing w:line="360" w:lineRule="auto"/>
      <w:rPr>
        <w:b w:val="0"/>
      </w:rPr>
    </w:pPr>
  </w:p>
  <w:p w:rsidR="001765B8" w:rsidRPr="007F2056" w:rsidRDefault="001765B8" w:rsidP="00320B6B">
    <w:pPr>
      <w:pStyle w:val="AHPRAfirstpagefooter"/>
      <w:tabs>
        <w:tab w:val="left" w:pos="2364"/>
        <w:tab w:val="center" w:pos="4703"/>
      </w:tabs>
      <w:spacing w:line="360" w:lineRule="auto"/>
      <w:rPr>
        <w:sz w:val="20"/>
      </w:rPr>
    </w:pPr>
    <w:r w:rsidRPr="007F2056">
      <w:t>Medical Board of Australia</w:t>
    </w:r>
  </w:p>
  <w:p w:rsidR="001765B8" w:rsidRDefault="001765B8" w:rsidP="00320B6B">
    <w:pPr>
      <w:pStyle w:val="AHPRAfirstpagefooter"/>
      <w:tabs>
        <w:tab w:val="center" w:pos="3686"/>
        <w:tab w:val="right" w:pos="9356"/>
      </w:tabs>
      <w:rPr>
        <w:b w:val="0"/>
        <w:i/>
        <w:szCs w:val="16"/>
      </w:rPr>
    </w:pPr>
    <w:r w:rsidRPr="007F2056">
      <w:rPr>
        <w:b w:val="0"/>
        <w:szCs w:val="16"/>
      </w:rPr>
      <w:t xml:space="preserve">Public consultation: Revised draft </w:t>
    </w:r>
    <w:r w:rsidRPr="007F2056">
      <w:rPr>
        <w:b w:val="0"/>
        <w:i/>
        <w:szCs w:val="16"/>
      </w:rPr>
      <w:t>Guidelines: Sexual boundaries in the doctor-patient relationship</w:t>
    </w:r>
  </w:p>
  <w:p w:rsidR="001765B8" w:rsidRPr="007F2056" w:rsidRDefault="001765B8" w:rsidP="00320B6B">
    <w:pPr>
      <w:pStyle w:val="AHPRAfirstpagefooter"/>
      <w:tabs>
        <w:tab w:val="center" w:pos="3686"/>
        <w:tab w:val="right" w:pos="9356"/>
      </w:tabs>
      <w:spacing w:before="80"/>
      <w:rPr>
        <w:b w:val="0"/>
        <w:szCs w:val="16"/>
      </w:rPr>
    </w:pPr>
    <w:r>
      <w:rPr>
        <w:b w:val="0"/>
        <w:szCs w:val="16"/>
      </w:rPr>
      <w:t>Page 13 of 14</w:t>
    </w:r>
  </w:p>
  <w:p w:rsidR="001765B8" w:rsidRDefault="001765B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Default="001765B8" w:rsidP="00320B6B">
    <w:pPr>
      <w:pStyle w:val="AHPRAfirstpagefooter"/>
      <w:tabs>
        <w:tab w:val="left" w:pos="2364"/>
        <w:tab w:val="center" w:pos="4703"/>
      </w:tabs>
      <w:spacing w:line="360" w:lineRule="auto"/>
      <w:rPr>
        <w:b w:val="0"/>
        <w:sz w:val="16"/>
      </w:rPr>
    </w:pPr>
  </w:p>
  <w:p w:rsidR="001765B8" w:rsidRPr="007F2056" w:rsidRDefault="001765B8" w:rsidP="00320B6B">
    <w:pPr>
      <w:pStyle w:val="AHPRAfirstpagefooter"/>
      <w:tabs>
        <w:tab w:val="left" w:pos="2364"/>
        <w:tab w:val="center" w:pos="4703"/>
      </w:tabs>
      <w:spacing w:line="360" w:lineRule="auto"/>
      <w:rPr>
        <w:sz w:val="20"/>
      </w:rPr>
    </w:pPr>
    <w:r w:rsidRPr="007F2056">
      <w:t>Medical Board of Australia</w:t>
    </w:r>
  </w:p>
  <w:p w:rsidR="001765B8" w:rsidRPr="007F2056" w:rsidRDefault="001765B8" w:rsidP="00320B6B">
    <w:pPr>
      <w:pStyle w:val="AHPRAfirstpagefooter"/>
      <w:tabs>
        <w:tab w:val="center" w:pos="3686"/>
        <w:tab w:val="right" w:pos="9356"/>
      </w:tabs>
      <w:rPr>
        <w:b w:val="0"/>
        <w:i/>
        <w:szCs w:val="16"/>
      </w:rPr>
    </w:pPr>
    <w:r w:rsidRPr="007F2056">
      <w:rPr>
        <w:b w:val="0"/>
        <w:szCs w:val="16"/>
      </w:rPr>
      <w:t xml:space="preserve">Public consultation: Revised draft </w:t>
    </w:r>
    <w:r w:rsidRPr="007F2056">
      <w:rPr>
        <w:b w:val="0"/>
        <w:i/>
        <w:szCs w:val="16"/>
      </w:rPr>
      <w:t>Guidelines: Sexual boundaries in the doctor-patient relationship</w:t>
    </w:r>
  </w:p>
  <w:p w:rsidR="001765B8" w:rsidRDefault="001765B8">
    <w:pPr>
      <w:pStyle w:val="Footer"/>
    </w:pPr>
  </w:p>
  <w:p w:rsidR="001765B8" w:rsidRDefault="001765B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Pr="007F2056" w:rsidRDefault="001765B8" w:rsidP="00320B6B">
    <w:pPr>
      <w:pStyle w:val="AHPRAfirstpagefooter"/>
      <w:tabs>
        <w:tab w:val="center" w:pos="3686"/>
        <w:tab w:val="right" w:pos="9356"/>
      </w:tabs>
      <w:spacing w:line="360" w:lineRule="auto"/>
      <w:rPr>
        <w:b w:val="0"/>
      </w:rPr>
    </w:pPr>
  </w:p>
  <w:p w:rsidR="001765B8" w:rsidRPr="007F2056" w:rsidRDefault="001765B8" w:rsidP="00320B6B">
    <w:pPr>
      <w:pStyle w:val="AHPRAfirstpagefooter"/>
      <w:tabs>
        <w:tab w:val="left" w:pos="2364"/>
        <w:tab w:val="center" w:pos="4703"/>
      </w:tabs>
      <w:spacing w:line="360" w:lineRule="auto"/>
      <w:rPr>
        <w:sz w:val="20"/>
      </w:rPr>
    </w:pPr>
    <w:r w:rsidRPr="007F2056">
      <w:t>Medical Board of Australia</w:t>
    </w:r>
  </w:p>
  <w:p w:rsidR="001765B8" w:rsidRDefault="001765B8" w:rsidP="00320B6B">
    <w:pPr>
      <w:pStyle w:val="AHPRAfirstpagefooter"/>
      <w:tabs>
        <w:tab w:val="center" w:pos="3686"/>
        <w:tab w:val="right" w:pos="9356"/>
      </w:tabs>
      <w:rPr>
        <w:b w:val="0"/>
        <w:i/>
        <w:szCs w:val="16"/>
      </w:rPr>
    </w:pPr>
    <w:r w:rsidRPr="007F2056">
      <w:rPr>
        <w:b w:val="0"/>
        <w:szCs w:val="16"/>
      </w:rPr>
      <w:t xml:space="preserve">Public consultation: Revised draft </w:t>
    </w:r>
    <w:r w:rsidRPr="007F2056">
      <w:rPr>
        <w:b w:val="0"/>
        <w:i/>
        <w:szCs w:val="16"/>
      </w:rPr>
      <w:t>Guidelines: Sexual boundaries in the doctor-patient relationship</w:t>
    </w:r>
  </w:p>
  <w:p w:rsidR="001765B8" w:rsidRPr="007F2056" w:rsidRDefault="001765B8" w:rsidP="00320B6B">
    <w:pPr>
      <w:pStyle w:val="AHPRAfirstpagefooter"/>
      <w:tabs>
        <w:tab w:val="center" w:pos="3686"/>
        <w:tab w:val="right" w:pos="9356"/>
      </w:tabs>
      <w:spacing w:before="80"/>
      <w:rPr>
        <w:b w:val="0"/>
        <w:szCs w:val="16"/>
      </w:rPr>
    </w:pPr>
    <w:r>
      <w:rPr>
        <w:b w:val="0"/>
        <w:szCs w:val="16"/>
      </w:rPr>
      <w:t>Page 14 of 14</w:t>
    </w:r>
  </w:p>
  <w:p w:rsidR="001765B8" w:rsidRDefault="00176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B8" w:rsidRDefault="001765B8" w:rsidP="0040306F">
      <w:pPr>
        <w:spacing w:after="0" w:line="240" w:lineRule="auto"/>
      </w:pPr>
      <w:r>
        <w:separator/>
      </w:r>
    </w:p>
  </w:footnote>
  <w:footnote w:type="continuationSeparator" w:id="0">
    <w:p w:rsidR="001765B8" w:rsidRDefault="001765B8" w:rsidP="0040306F">
      <w:pPr>
        <w:spacing w:after="0" w:line="240" w:lineRule="auto"/>
      </w:pPr>
      <w:r>
        <w:continuationSeparator/>
      </w:r>
    </w:p>
  </w:footnote>
  <w:footnote w:id="1">
    <w:p w:rsidR="001765B8" w:rsidRPr="00C37A7C" w:rsidRDefault="001765B8" w:rsidP="00A23C60">
      <w:pPr>
        <w:pStyle w:val="FootnoteText"/>
        <w:spacing w:after="0"/>
        <w:rPr>
          <w:rFonts w:ascii="Arial" w:hAnsi="Arial" w:cs="Arial"/>
          <w:sz w:val="18"/>
          <w:szCs w:val="18"/>
        </w:rPr>
      </w:pPr>
      <w:r>
        <w:rPr>
          <w:rStyle w:val="FootnoteReference"/>
        </w:rPr>
        <w:footnoteRef/>
      </w:r>
      <w:r>
        <w:t xml:space="preserve"> </w:t>
      </w:r>
      <w:r w:rsidRPr="00C37A7C">
        <w:rPr>
          <w:rFonts w:ascii="Arial" w:hAnsi="Arial" w:cs="Arial"/>
          <w:sz w:val="18"/>
          <w:szCs w:val="18"/>
        </w:rPr>
        <w:t>Health Practitioner Regulation National Law, as in force in each state and territory</w:t>
      </w:r>
    </w:p>
  </w:footnote>
  <w:footnote w:id="2">
    <w:p w:rsidR="001765B8" w:rsidRPr="006F0924" w:rsidRDefault="001765B8" w:rsidP="00A23C60">
      <w:pPr>
        <w:pStyle w:val="FootnoteText"/>
        <w:spacing w:after="0"/>
        <w:rPr>
          <w:rFonts w:ascii="Arial" w:hAnsi="Arial" w:cs="Arial"/>
          <w:sz w:val="18"/>
          <w:szCs w:val="18"/>
        </w:rPr>
      </w:pPr>
      <w:r w:rsidRPr="006F0924">
        <w:rPr>
          <w:rStyle w:val="FootnoteReference"/>
          <w:rFonts w:ascii="Arial" w:hAnsi="Arial" w:cs="Arial"/>
          <w:sz w:val="18"/>
          <w:szCs w:val="18"/>
        </w:rPr>
        <w:footnoteRef/>
      </w:r>
      <w:r w:rsidRPr="006F0924">
        <w:rPr>
          <w:rFonts w:ascii="Arial" w:hAnsi="Arial" w:cs="Arial"/>
          <w:sz w:val="18"/>
          <w:szCs w:val="18"/>
        </w:rPr>
        <w:t>You are welcome to supply a PDF file of your feedback in addition to the word (or equivalent) file, however we request that you supply a text or word file. As part of an effort to meet international website accessibility guidelines, AHPRA and National Boards are striving to publish documents in accessible formats (such as word), in addition to PDFs. More information about this is available at</w:t>
      </w:r>
      <w:r>
        <w:rPr>
          <w:rFonts w:ascii="Arial" w:hAnsi="Arial" w:cs="Arial"/>
          <w:sz w:val="18"/>
          <w:szCs w:val="18"/>
        </w:rPr>
        <w:t xml:space="preserve"> </w:t>
      </w:r>
      <w:hyperlink r:id="rId1" w:history="1">
        <w:r w:rsidRPr="00E115B6">
          <w:rPr>
            <w:rStyle w:val="Hyperlink"/>
            <w:rFonts w:ascii="Arial" w:hAnsi="Arial" w:cs="Arial"/>
            <w:sz w:val="18"/>
            <w:szCs w:val="18"/>
          </w:rPr>
          <w:t>www.ahpra.gov.au/About-AHPRA/Accessibility.aspx</w:t>
        </w:r>
      </w:hyperlink>
    </w:p>
  </w:footnote>
  <w:footnote w:id="3">
    <w:p w:rsidR="001765B8" w:rsidRPr="00CB4590" w:rsidRDefault="001765B8" w:rsidP="0040306F">
      <w:pPr>
        <w:pStyle w:val="FootnoteText"/>
        <w:spacing w:after="0"/>
        <w:rPr>
          <w:rFonts w:ascii="Arial" w:hAnsi="Arial" w:cs="Arial"/>
          <w:color w:val="54575A" w:themeColor="text1"/>
          <w:sz w:val="16"/>
          <w:szCs w:val="16"/>
        </w:rPr>
      </w:pPr>
      <w:r w:rsidRPr="00ED5F41">
        <w:rPr>
          <w:rStyle w:val="FootnoteReference"/>
          <w:rFonts w:ascii="Arial" w:hAnsi="Arial" w:cs="Arial"/>
          <w:color w:val="54575A" w:themeColor="text1"/>
          <w:szCs w:val="16"/>
        </w:rPr>
        <w:footnoteRef/>
      </w:r>
      <w:r w:rsidRPr="00ED5F41">
        <w:rPr>
          <w:rFonts w:ascii="Arial" w:hAnsi="Arial" w:cs="Arial"/>
          <w:color w:val="54575A" w:themeColor="text1"/>
          <w:szCs w:val="16"/>
        </w:rPr>
        <w:t xml:space="preserve"> </w:t>
      </w:r>
      <w:r w:rsidRPr="00CB4590">
        <w:rPr>
          <w:rFonts w:ascii="Arial" w:hAnsi="Arial" w:cs="Arial"/>
          <w:color w:val="54575A" w:themeColor="text1"/>
          <w:sz w:val="16"/>
          <w:szCs w:val="16"/>
        </w:rPr>
        <w:t xml:space="preserve">Medical Board of Australia, </w:t>
      </w:r>
      <w:r w:rsidRPr="00CB4590">
        <w:rPr>
          <w:rFonts w:ascii="Arial" w:hAnsi="Arial" w:cs="Arial"/>
          <w:i/>
          <w:color w:val="54575A" w:themeColor="text1"/>
          <w:sz w:val="16"/>
          <w:szCs w:val="16"/>
        </w:rPr>
        <w:t>Good medical practice: A code of conduct for doctors in Australia</w:t>
      </w:r>
      <w:r w:rsidRPr="00CB4590">
        <w:rPr>
          <w:rFonts w:ascii="Arial" w:hAnsi="Arial" w:cs="Arial"/>
          <w:color w:val="54575A" w:themeColor="text1"/>
          <w:sz w:val="16"/>
          <w:szCs w:val="16"/>
        </w:rPr>
        <w:t>, (as revised from time to time).</w:t>
      </w:r>
    </w:p>
  </w:footnote>
  <w:footnote w:id="4">
    <w:p w:rsidR="001765B8" w:rsidRPr="00780C0B" w:rsidRDefault="001765B8" w:rsidP="0040306F">
      <w:pPr>
        <w:pStyle w:val="FootnoteText"/>
        <w:spacing w:after="0"/>
        <w:rPr>
          <w:rFonts w:ascii="Arial" w:hAnsi="Arial" w:cs="Arial"/>
          <w:sz w:val="16"/>
          <w:szCs w:val="16"/>
        </w:rPr>
      </w:pPr>
      <w:r w:rsidRPr="00ED5F41">
        <w:rPr>
          <w:rStyle w:val="FootnoteReference"/>
          <w:rFonts w:ascii="Arial" w:hAnsi="Arial" w:cs="Arial"/>
          <w:color w:val="54575A" w:themeColor="text1"/>
          <w:szCs w:val="16"/>
        </w:rPr>
        <w:footnoteRef/>
      </w:r>
      <w:r w:rsidRPr="00CB4590">
        <w:rPr>
          <w:rFonts w:ascii="Arial" w:hAnsi="Arial" w:cs="Arial"/>
          <w:color w:val="54575A" w:themeColor="text1"/>
          <w:sz w:val="16"/>
          <w:szCs w:val="16"/>
        </w:rPr>
        <w:t xml:space="preserve"> Doctor/s means registered medical practitioner/s.</w:t>
      </w:r>
    </w:p>
  </w:footnote>
  <w:footnote w:id="5">
    <w:p w:rsidR="001765B8" w:rsidRPr="00D843F6" w:rsidRDefault="001765B8" w:rsidP="0040306F">
      <w:pPr>
        <w:pStyle w:val="FootnoteText"/>
        <w:spacing w:after="0"/>
        <w:rPr>
          <w:rFonts w:ascii="Arial" w:hAnsi="Arial" w:cs="Arial"/>
          <w:color w:val="54575A" w:themeColor="text1"/>
          <w:sz w:val="16"/>
          <w:szCs w:val="16"/>
        </w:rPr>
      </w:pPr>
      <w:r w:rsidRPr="00ED5F41">
        <w:rPr>
          <w:rStyle w:val="FootnoteReference"/>
          <w:rFonts w:ascii="Arial" w:hAnsi="Arial" w:cs="Arial"/>
          <w:color w:val="54575A" w:themeColor="text1"/>
          <w:szCs w:val="16"/>
        </w:rPr>
        <w:footnoteRef/>
      </w:r>
      <w:r w:rsidRPr="00ED5F41">
        <w:rPr>
          <w:rFonts w:ascii="Arial" w:hAnsi="Arial" w:cs="Arial"/>
          <w:color w:val="54575A" w:themeColor="text1"/>
          <w:szCs w:val="16"/>
        </w:rPr>
        <w:t xml:space="preserve"> </w:t>
      </w:r>
      <w:r w:rsidRPr="00D843F6">
        <w:rPr>
          <w:rFonts w:ascii="Arial" w:hAnsi="Arial" w:cs="Arial"/>
          <w:color w:val="54575A" w:themeColor="text1"/>
          <w:sz w:val="16"/>
          <w:szCs w:val="16"/>
        </w:rPr>
        <w:t>Notifier/s means a person who has made a notification (complaint) to AHPRA about the alleged conduct of a health practitioner.</w:t>
      </w:r>
    </w:p>
  </w:footnote>
  <w:footnote w:id="6">
    <w:p w:rsidR="001765B8" w:rsidRPr="00D843F6" w:rsidRDefault="001765B8" w:rsidP="0040306F">
      <w:pPr>
        <w:pStyle w:val="FootnoteText"/>
        <w:spacing w:after="0"/>
        <w:rPr>
          <w:rFonts w:ascii="Arial" w:hAnsi="Arial" w:cs="Arial"/>
          <w:color w:val="54575A" w:themeColor="text1"/>
          <w:sz w:val="16"/>
          <w:szCs w:val="16"/>
        </w:rPr>
      </w:pPr>
      <w:r w:rsidRPr="00ED5F41">
        <w:rPr>
          <w:rStyle w:val="FootnoteReference"/>
          <w:rFonts w:ascii="Arial" w:hAnsi="Arial" w:cs="Arial"/>
          <w:color w:val="54575A" w:themeColor="text1"/>
          <w:szCs w:val="16"/>
        </w:rPr>
        <w:footnoteRef/>
      </w:r>
      <w:r w:rsidRPr="00D843F6">
        <w:rPr>
          <w:rFonts w:ascii="Arial" w:hAnsi="Arial" w:cs="Arial"/>
          <w:color w:val="54575A" w:themeColor="text1"/>
          <w:sz w:val="16"/>
          <w:szCs w:val="16"/>
        </w:rPr>
        <w:t xml:space="preserve"> See ‘Definitions’ in these guidelines.</w:t>
      </w:r>
    </w:p>
  </w:footnote>
  <w:footnote w:id="7">
    <w:p w:rsidR="001765B8" w:rsidRPr="002B0709" w:rsidRDefault="001765B8" w:rsidP="0040306F">
      <w:pPr>
        <w:pStyle w:val="FootnoteText"/>
        <w:spacing w:after="0"/>
        <w:rPr>
          <w:rFonts w:ascii="Arial" w:hAnsi="Arial" w:cs="Arial"/>
          <w:sz w:val="16"/>
          <w:szCs w:val="16"/>
        </w:rPr>
      </w:pPr>
      <w:r w:rsidRPr="00ED5F41">
        <w:rPr>
          <w:rStyle w:val="FootnoteReference"/>
          <w:rFonts w:ascii="Arial" w:hAnsi="Arial" w:cs="Arial"/>
          <w:color w:val="54575A" w:themeColor="text1"/>
          <w:szCs w:val="16"/>
        </w:rPr>
        <w:footnoteRef/>
      </w:r>
      <w:r w:rsidRPr="00D843F6">
        <w:rPr>
          <w:rFonts w:ascii="Arial" w:hAnsi="Arial" w:cs="Arial"/>
          <w:color w:val="54575A" w:themeColor="text1"/>
          <w:sz w:val="16"/>
          <w:szCs w:val="16"/>
        </w:rPr>
        <w:t xml:space="preserve"> See ‘Definitions’ in these guidelines.</w:t>
      </w:r>
    </w:p>
  </w:footnote>
  <w:footnote w:id="8">
    <w:p w:rsidR="001765B8" w:rsidRPr="00837CD3" w:rsidRDefault="001765B8" w:rsidP="0040306F">
      <w:pPr>
        <w:pStyle w:val="FootnoteText"/>
        <w:spacing w:after="0"/>
        <w:rPr>
          <w:rFonts w:asciiTheme="majorHAnsi" w:hAnsiTheme="majorHAnsi" w:cstheme="majorHAnsi"/>
          <w:color w:val="54575A" w:themeColor="text1"/>
        </w:rPr>
      </w:pPr>
      <w:r w:rsidRPr="00ED5F41">
        <w:rPr>
          <w:rStyle w:val="FootnoteReference"/>
          <w:rFonts w:ascii="Arial" w:hAnsi="Arial" w:cs="Arial"/>
          <w:color w:val="54575A" w:themeColor="text1"/>
        </w:rPr>
        <w:footnoteRef/>
      </w:r>
      <w:r w:rsidRPr="00ED5F41">
        <w:rPr>
          <w:rFonts w:ascii="Arial" w:hAnsi="Arial" w:cs="Arial"/>
          <w:color w:val="54575A" w:themeColor="text1"/>
        </w:rPr>
        <w:t xml:space="preserve"> </w:t>
      </w:r>
      <w:r w:rsidRPr="00837CD3">
        <w:rPr>
          <w:rFonts w:asciiTheme="majorHAnsi" w:hAnsiTheme="majorHAnsi" w:cstheme="majorHAnsi"/>
          <w:color w:val="54575A" w:themeColor="text1"/>
          <w:sz w:val="16"/>
          <w:szCs w:val="16"/>
        </w:rPr>
        <w:t>An individual close to a patient includes a parent of a child patient, a spouse, carer, guardian or family member.</w:t>
      </w:r>
    </w:p>
  </w:footnote>
  <w:footnote w:id="9">
    <w:p w:rsidR="001765B8" w:rsidRPr="00A62FBF" w:rsidRDefault="001765B8" w:rsidP="0040306F">
      <w:pPr>
        <w:pStyle w:val="FootnoteText"/>
        <w:spacing w:after="0"/>
        <w:rPr>
          <w:rFonts w:ascii="Arial" w:hAnsi="Arial" w:cs="Arial"/>
          <w:sz w:val="16"/>
          <w:szCs w:val="16"/>
        </w:rPr>
      </w:pPr>
      <w:r w:rsidRPr="00ED5F41">
        <w:rPr>
          <w:rStyle w:val="FootnoteReference"/>
          <w:rFonts w:ascii="Arial" w:hAnsi="Arial" w:cs="Arial"/>
          <w:color w:val="54575A" w:themeColor="text1"/>
          <w:szCs w:val="16"/>
        </w:rPr>
        <w:footnoteRef/>
      </w:r>
      <w:r w:rsidRPr="00837CD3">
        <w:rPr>
          <w:rFonts w:ascii="Arial" w:hAnsi="Arial" w:cs="Arial"/>
          <w:color w:val="54575A" w:themeColor="text1"/>
          <w:sz w:val="16"/>
          <w:szCs w:val="16"/>
        </w:rPr>
        <w:t xml:space="preserve"> See ‘Definitions’ in these guidelines.</w:t>
      </w:r>
    </w:p>
  </w:footnote>
  <w:footnote w:id="10">
    <w:p w:rsidR="001765B8" w:rsidRPr="00A41E3F" w:rsidRDefault="001765B8" w:rsidP="0040306F">
      <w:pPr>
        <w:pStyle w:val="FootnoteText"/>
        <w:spacing w:after="0"/>
        <w:rPr>
          <w:rFonts w:ascii="Arial" w:hAnsi="Arial" w:cs="Arial"/>
          <w:sz w:val="18"/>
          <w:szCs w:val="18"/>
        </w:rPr>
      </w:pPr>
      <w:r w:rsidRPr="00ED5F41">
        <w:rPr>
          <w:rStyle w:val="FootnoteReference"/>
          <w:rFonts w:ascii="Arial" w:hAnsi="Arial" w:cs="Arial"/>
          <w:color w:val="54575A" w:themeColor="text1"/>
          <w:szCs w:val="16"/>
        </w:rPr>
        <w:footnoteRef/>
      </w:r>
      <w:r w:rsidRPr="00ED5F41">
        <w:rPr>
          <w:rFonts w:ascii="Arial" w:hAnsi="Arial" w:cs="Arial"/>
          <w:color w:val="54575A" w:themeColor="text1"/>
          <w:szCs w:val="16"/>
        </w:rPr>
        <w:t xml:space="preserve"> </w:t>
      </w:r>
      <w:r w:rsidRPr="008A5812">
        <w:rPr>
          <w:rFonts w:ascii="Arial" w:hAnsi="Arial" w:cs="Arial"/>
          <w:color w:val="54575A" w:themeColor="text1"/>
          <w:sz w:val="16"/>
          <w:szCs w:val="16"/>
        </w:rPr>
        <w:t>There are some limited exceptions to the requirement of health practitioners to report ‘notifiable conduct’ in Western Australia and Queensland in certain circumstances. The requirement of education providers to make a mandatory notification relates to students and only applies where a student has an impairment that may place the public at substantial risk of harm.</w:t>
      </w:r>
    </w:p>
  </w:footnote>
  <w:footnote w:id="11">
    <w:p w:rsidR="001765B8" w:rsidRPr="00ED5F41" w:rsidRDefault="001765B8" w:rsidP="00B6012E">
      <w:pPr>
        <w:pStyle w:val="FootnoteText"/>
        <w:spacing w:after="0"/>
        <w:rPr>
          <w:rFonts w:asciiTheme="minorHAnsi" w:hAnsiTheme="minorHAnsi" w:cstheme="minorHAnsi"/>
          <w:sz w:val="16"/>
          <w:szCs w:val="16"/>
        </w:rPr>
      </w:pPr>
      <w:r w:rsidRPr="00ED5F41">
        <w:rPr>
          <w:rStyle w:val="FootnoteReference"/>
          <w:rFonts w:asciiTheme="majorHAnsi" w:hAnsiTheme="majorHAnsi" w:cstheme="majorHAnsi"/>
          <w:color w:val="54575A" w:themeColor="text1"/>
        </w:rPr>
        <w:footnoteRef/>
      </w:r>
      <w:r w:rsidRPr="00ED5F41">
        <w:rPr>
          <w:rFonts w:asciiTheme="majorHAnsi" w:hAnsiTheme="majorHAnsi" w:cstheme="majorHAnsi"/>
          <w:color w:val="54575A" w:themeColor="text1"/>
        </w:rPr>
        <w:t xml:space="preserve"> </w:t>
      </w:r>
      <w:r w:rsidRPr="00CB4590">
        <w:rPr>
          <w:rFonts w:ascii="Arial" w:hAnsi="Arial" w:cs="Arial"/>
          <w:color w:val="54575A" w:themeColor="text1"/>
          <w:sz w:val="16"/>
          <w:szCs w:val="16"/>
        </w:rPr>
        <w:t>Definition adapted from the Australian Human Rights Commission definition of sexual harassment,</w:t>
      </w:r>
      <w:r>
        <w:rPr>
          <w:rFonts w:ascii="Arial" w:hAnsi="Arial" w:cs="Arial"/>
          <w:color w:val="54575A" w:themeColor="text1"/>
          <w:sz w:val="16"/>
          <w:szCs w:val="16"/>
        </w:rPr>
        <w:t xml:space="preserve"> </w:t>
      </w:r>
      <w:hyperlink r:id="rId2" w:history="1">
        <w:r w:rsidRPr="00ED5F41">
          <w:rPr>
            <w:rStyle w:val="Hyperlink"/>
            <w:rFonts w:asciiTheme="minorHAnsi" w:hAnsiTheme="minorHAnsi" w:cstheme="minorHAnsi"/>
            <w:color w:val="54575A" w:themeColor="text1"/>
            <w:sz w:val="16"/>
            <w:szCs w:val="16"/>
          </w:rPr>
          <w:t>https://www.humanrights.gov.au/our-work/sex-discrimination/guides/sexual-harassment</w:t>
        </w:r>
      </w:hyperlink>
      <w:r w:rsidRPr="00ED5F41">
        <w:rPr>
          <w:rFonts w:asciiTheme="minorHAnsi" w:hAnsiTheme="minorHAnsi" w:cstheme="minorHAnsi"/>
          <w:color w:val="54575A" w:themeColor="text1"/>
          <w:sz w:val="16"/>
          <w:szCs w:val="16"/>
        </w:rPr>
        <w:t>, accessed 16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Default="00597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30666" o:spid="_x0000_s12290" type="#_x0000_t136" style="position:absolute;margin-left:0;margin-top:0;width:490.45pt;height:196.1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Pr="00CD21AB" w:rsidRDefault="001765B8" w:rsidP="00320B6B">
    <w:pPr>
      <w:pStyle w:val="Header"/>
      <w:tabs>
        <w:tab w:val="clear" w:pos="4513"/>
        <w:tab w:val="clear" w:pos="9026"/>
        <w:tab w:val="left" w:pos="2793"/>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Pr="00240AAF" w:rsidRDefault="001765B8" w:rsidP="00320B6B">
    <w:pPr>
      <w:pStyle w:val="AHPRATitle"/>
      <w:rPr>
        <w:color w:val="auto"/>
        <w:sz w:val="20"/>
        <w:szCs w:val="24"/>
      </w:rPr>
    </w:pPr>
    <w:r w:rsidRPr="00D41894">
      <w:rPr>
        <w:noProof/>
        <w:lang w:val="en-AU" w:eastAsia="en-AU"/>
      </w:rPr>
      <w:drawing>
        <wp:anchor distT="0" distB="0" distL="114300" distR="114300" simplePos="0" relativeHeight="251660288" behindDoc="0" locked="0" layoutInCell="1" allowOverlap="1">
          <wp:simplePos x="0" y="0"/>
          <wp:positionH relativeFrom="column">
            <wp:posOffset>4370070</wp:posOffset>
          </wp:positionH>
          <wp:positionV relativeFrom="paragraph">
            <wp:posOffset>95885</wp:posOffset>
          </wp:positionV>
          <wp:extent cx="1673860" cy="1764665"/>
          <wp:effectExtent l="0" t="0" r="0" b="0"/>
          <wp:wrapNone/>
          <wp:docPr id="2" name="Picture 2" descr="AHPRA_MedicalBoardofAustralia_SPOT"/>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1764665"/>
                  </a:xfrm>
                  <a:prstGeom prst="rect">
                    <a:avLst/>
                  </a:prstGeom>
                  <a:noFill/>
                  <a:ln w="9525">
                    <a:noFill/>
                    <a:miter lim="800000"/>
                    <a:headEnd/>
                    <a:tailEnd/>
                  </a:ln>
                </pic:spPr>
              </pic:pic>
            </a:graphicData>
          </a:graphic>
        </wp:anchor>
      </w:drawing>
    </w:r>
    <w:r w:rsidRPr="00240AAF">
      <w:rPr>
        <w:color w:val="auto"/>
        <w:sz w:val="20"/>
        <w:szCs w:val="24"/>
      </w:rPr>
      <w:t>Attachment 2</w:t>
    </w:r>
  </w:p>
  <w:p w:rsidR="001765B8" w:rsidRDefault="001765B8" w:rsidP="00320B6B">
    <w:pPr>
      <w:pStyle w:val="Header"/>
      <w:tabs>
        <w:tab w:val="clear" w:pos="4513"/>
        <w:tab w:val="clear" w:pos="9026"/>
        <w:tab w:val="left" w:pos="358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Default="001765B8">
    <w:pPr>
      <w:pStyle w:val="Header"/>
    </w:pPr>
  </w:p>
  <w:p w:rsidR="001765B8" w:rsidRDefault="001765B8">
    <w:pPr>
      <w:pStyle w:val="Header"/>
    </w:pPr>
    <w:bookmarkStart w:id="0" w:name="_GoBack"/>
    <w:r>
      <w:rPr>
        <w:noProof/>
        <w:lang w:eastAsia="en-AU"/>
      </w:rPr>
      <w:drawing>
        <wp:anchor distT="0" distB="0" distL="114300" distR="114300" simplePos="0" relativeHeight="251654656" behindDoc="0" locked="0" layoutInCell="1" allowOverlap="1">
          <wp:simplePos x="0" y="0"/>
          <wp:positionH relativeFrom="column">
            <wp:posOffset>4822825</wp:posOffset>
          </wp:positionH>
          <wp:positionV relativeFrom="paragraph">
            <wp:posOffset>68580</wp:posOffset>
          </wp:positionV>
          <wp:extent cx="1550670" cy="1623060"/>
          <wp:effectExtent l="0" t="0" r="0" b="0"/>
          <wp:wrapNone/>
          <wp:docPr id="4" name="Picture 4" descr="The Medic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1623060"/>
                  </a:xfrm>
                  <a:prstGeom prst="rect">
                    <a:avLst/>
                  </a:prstGeom>
                  <a:noFill/>
                  <a:ln>
                    <a:noFill/>
                  </a:ln>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Default="00597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30669" o:spid="_x0000_s12293" type="#_x0000_t136" style="position:absolute;margin-left:0;margin-top:0;width:490.45pt;height:196.15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Default="00597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30670" o:spid="_x0000_s12294" type="#_x0000_t136" style="position:absolute;margin-left:0;margin-top:0;width:490.45pt;height:196.15pt;rotation:315;z-index:-2516418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Default="001765B8">
    <w:pPr>
      <w:pStyle w:val="Header"/>
    </w:pPr>
  </w:p>
  <w:p w:rsidR="001765B8" w:rsidRDefault="001765B8">
    <w:pPr>
      <w:pStyle w:val="Header"/>
    </w:pPr>
    <w:r>
      <w:rPr>
        <w:noProof/>
        <w:lang w:eastAsia="en-AU"/>
      </w:rPr>
      <w:drawing>
        <wp:anchor distT="0" distB="0" distL="114300" distR="114300" simplePos="0" relativeHeight="251660800" behindDoc="0" locked="0" layoutInCell="1" allowOverlap="1">
          <wp:simplePos x="0" y="0"/>
          <wp:positionH relativeFrom="column">
            <wp:posOffset>4822825</wp:posOffset>
          </wp:positionH>
          <wp:positionV relativeFrom="paragraph">
            <wp:posOffset>68580</wp:posOffset>
          </wp:positionV>
          <wp:extent cx="1550670" cy="1623060"/>
          <wp:effectExtent l="0" t="0" r="0" b="0"/>
          <wp:wrapNone/>
          <wp:docPr id="6" name="Picture 6" descr="AHPRA_Nursing&amp;Midwif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1623060"/>
                  </a:xfrm>
                  <a:prstGeom prst="rect">
                    <a:avLst/>
                  </a:prstGeom>
                  <a:noFill/>
                  <a:ln>
                    <a:noFill/>
                  </a:ln>
                </pic:spPr>
              </pic:pic>
            </a:graphicData>
          </a:graphic>
        </wp:anchor>
      </w:drawing>
    </w:r>
  </w:p>
  <w:p w:rsidR="001765B8" w:rsidRDefault="00597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30668" o:spid="_x0000_s12292" type="#_x0000_t136" style="position:absolute;margin-left:6.05pt;margin-top:319.1pt;width:490.45pt;height:159.05pt;rotation:315;z-index:-251630592;mso-position-horizontal-relative:margin;mso-position-vertical-relative:margin" o:allowincell="f" fillcolor="silver" stroked="f">
          <v:fill opacity=".5"/>
          <v:textpath style="font-family:&quot;Arial&quot;;font-size:1pt" string="DRAFT"/>
          <w10:wrap anchorx="margin" anchory="margin"/>
        </v:shape>
      </w:pict>
    </w:r>
    <w:r w:rsidR="001765B8">
      <w:t>Attachment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Default="00597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30672" o:spid="_x0000_s12296" type="#_x0000_t136" style="position:absolute;margin-left:0;margin-top:0;width:490.45pt;height:196.15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Default="00597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30673" o:spid="_x0000_s12297" type="#_x0000_t136" style="position:absolute;margin-left:0;margin-top:0;width:490.45pt;height:196.15pt;rotation:315;z-index:-2516357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Default="00597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30671" o:spid="_x0000_s12295" type="#_x0000_t136" style="position:absolute;margin-left:0;margin-top:0;width:490.45pt;height:196.15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8" w:rsidRDefault="00597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30675" o:spid="_x0000_s12299" type="#_x0000_t136" style="position:absolute;margin-left:0;margin-top:0;width:490.45pt;height:196.15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11D2"/>
    <w:multiLevelType w:val="hybridMultilevel"/>
    <w:tmpl w:val="D0B08AEC"/>
    <w:lvl w:ilvl="0" w:tplc="0C090001">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F724D"/>
    <w:multiLevelType w:val="hybridMultilevel"/>
    <w:tmpl w:val="65F84F8C"/>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BCC3F3D"/>
    <w:multiLevelType w:val="hybridMultilevel"/>
    <w:tmpl w:val="E0FE1F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EC6ACE"/>
    <w:multiLevelType w:val="hybridMultilevel"/>
    <w:tmpl w:val="6FC429BC"/>
    <w:lvl w:ilvl="0" w:tplc="0C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DBB7FFB"/>
    <w:multiLevelType w:val="multilevel"/>
    <w:tmpl w:val="38326768"/>
    <w:lvl w:ilvl="0">
      <w:start w:val="1"/>
      <w:numFmt w:val="decimal"/>
      <w:lvlText w:val="%1"/>
      <w:lvlJc w:val="left"/>
      <w:pPr>
        <w:ind w:left="360" w:hanging="360"/>
      </w:pPr>
      <w:rPr>
        <w:rFonts w:hint="default"/>
      </w:rPr>
    </w:lvl>
    <w:lvl w:ilvl="1">
      <w:start w:val="1"/>
      <w:numFmt w:val="lowerLetter"/>
      <w:lvlText w:val="%2."/>
      <w:lvlJc w:val="left"/>
      <w:pPr>
        <w:ind w:left="719" w:hanging="435"/>
      </w:pPr>
      <w:rPr>
        <w:rFonts w:hint="default"/>
        <w:b w:val="0"/>
        <w:color w:val="54575A" w:themeColor="text1"/>
        <w:sz w:val="2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 w15:restartNumberingAfterBreak="0">
    <w:nsid w:val="10C91C2D"/>
    <w:multiLevelType w:val="hybridMultilevel"/>
    <w:tmpl w:val="B5C60D62"/>
    <w:lvl w:ilvl="0" w:tplc="EAE4D9C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64D80"/>
    <w:multiLevelType w:val="hybridMultilevel"/>
    <w:tmpl w:val="D2245F82"/>
    <w:lvl w:ilvl="0" w:tplc="0C090001">
      <w:start w:val="1"/>
      <w:numFmt w:val="bullet"/>
      <w:lvlText w:val=""/>
      <w:lvlJc w:val="left"/>
      <w:pPr>
        <w:ind w:left="1081" w:hanging="360"/>
      </w:pPr>
      <w:rPr>
        <w:rFonts w:ascii="Symbol" w:hAnsi="Symbol" w:hint="default"/>
        <w:sz w:val="20"/>
      </w:rPr>
    </w:lvl>
    <w:lvl w:ilvl="1" w:tplc="0C090003">
      <w:start w:val="1"/>
      <w:numFmt w:val="bullet"/>
      <w:lvlText w:val="o"/>
      <w:lvlJc w:val="left"/>
      <w:pPr>
        <w:ind w:left="1801" w:hanging="360"/>
      </w:pPr>
      <w:rPr>
        <w:rFonts w:ascii="Courier New" w:hAnsi="Courier New" w:cs="Symbol" w:hint="default"/>
      </w:rPr>
    </w:lvl>
    <w:lvl w:ilvl="2" w:tplc="0C090005" w:tentative="1">
      <w:start w:val="1"/>
      <w:numFmt w:val="bullet"/>
      <w:lvlText w:val=""/>
      <w:lvlJc w:val="left"/>
      <w:pPr>
        <w:ind w:left="2521" w:hanging="360"/>
      </w:pPr>
      <w:rPr>
        <w:rFonts w:ascii="Wingdings" w:hAnsi="Wingdings" w:hint="default"/>
      </w:rPr>
    </w:lvl>
    <w:lvl w:ilvl="3" w:tplc="0C090001" w:tentative="1">
      <w:start w:val="1"/>
      <w:numFmt w:val="bullet"/>
      <w:lvlText w:val=""/>
      <w:lvlJc w:val="left"/>
      <w:pPr>
        <w:ind w:left="3241" w:hanging="360"/>
      </w:pPr>
      <w:rPr>
        <w:rFonts w:ascii="Symbol" w:hAnsi="Symbol" w:hint="default"/>
      </w:rPr>
    </w:lvl>
    <w:lvl w:ilvl="4" w:tplc="0C090003" w:tentative="1">
      <w:start w:val="1"/>
      <w:numFmt w:val="bullet"/>
      <w:lvlText w:val="o"/>
      <w:lvlJc w:val="left"/>
      <w:pPr>
        <w:ind w:left="3961" w:hanging="360"/>
      </w:pPr>
      <w:rPr>
        <w:rFonts w:ascii="Courier New" w:hAnsi="Courier New" w:cs="Symbol" w:hint="default"/>
      </w:rPr>
    </w:lvl>
    <w:lvl w:ilvl="5" w:tplc="0C090005" w:tentative="1">
      <w:start w:val="1"/>
      <w:numFmt w:val="bullet"/>
      <w:lvlText w:val=""/>
      <w:lvlJc w:val="left"/>
      <w:pPr>
        <w:ind w:left="4681" w:hanging="360"/>
      </w:pPr>
      <w:rPr>
        <w:rFonts w:ascii="Wingdings" w:hAnsi="Wingdings" w:hint="default"/>
      </w:rPr>
    </w:lvl>
    <w:lvl w:ilvl="6" w:tplc="0C090001" w:tentative="1">
      <w:start w:val="1"/>
      <w:numFmt w:val="bullet"/>
      <w:lvlText w:val=""/>
      <w:lvlJc w:val="left"/>
      <w:pPr>
        <w:ind w:left="5401" w:hanging="360"/>
      </w:pPr>
      <w:rPr>
        <w:rFonts w:ascii="Symbol" w:hAnsi="Symbol" w:hint="default"/>
      </w:rPr>
    </w:lvl>
    <w:lvl w:ilvl="7" w:tplc="0C090003" w:tentative="1">
      <w:start w:val="1"/>
      <w:numFmt w:val="bullet"/>
      <w:lvlText w:val="o"/>
      <w:lvlJc w:val="left"/>
      <w:pPr>
        <w:ind w:left="6121" w:hanging="360"/>
      </w:pPr>
      <w:rPr>
        <w:rFonts w:ascii="Courier New" w:hAnsi="Courier New" w:cs="Symbol" w:hint="default"/>
      </w:rPr>
    </w:lvl>
    <w:lvl w:ilvl="8" w:tplc="0C090005" w:tentative="1">
      <w:start w:val="1"/>
      <w:numFmt w:val="bullet"/>
      <w:lvlText w:val=""/>
      <w:lvlJc w:val="left"/>
      <w:pPr>
        <w:ind w:left="6841" w:hanging="360"/>
      </w:pPr>
      <w:rPr>
        <w:rFonts w:ascii="Wingdings" w:hAnsi="Wingdings" w:hint="default"/>
      </w:rPr>
    </w:lvl>
  </w:abstractNum>
  <w:abstractNum w:abstractNumId="8" w15:restartNumberingAfterBreak="0">
    <w:nsid w:val="1A392006"/>
    <w:multiLevelType w:val="hybridMultilevel"/>
    <w:tmpl w:val="B01A5A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96FA4"/>
    <w:multiLevelType w:val="hybridMultilevel"/>
    <w:tmpl w:val="4CC0E3FA"/>
    <w:lvl w:ilvl="0" w:tplc="0C090001">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E8191E"/>
    <w:multiLevelType w:val="hybridMultilevel"/>
    <w:tmpl w:val="73842230"/>
    <w:lvl w:ilvl="0" w:tplc="04090019">
      <w:start w:val="1"/>
      <w:numFmt w:val="lowerLetter"/>
      <w:lvlText w:val="%1."/>
      <w:lvlJc w:val="left"/>
      <w:pPr>
        <w:ind w:left="927" w:hanging="360"/>
      </w:pPr>
      <w:rPr>
        <w:rFonts w:hint="default"/>
      </w:rPr>
    </w:lvl>
    <w:lvl w:ilvl="1" w:tplc="744AB482">
      <w:start w:val="1"/>
      <w:numFmt w:val="bullet"/>
      <w:lvlText w:val=""/>
      <w:lvlJc w:val="left"/>
      <w:pPr>
        <w:ind w:left="1647" w:hanging="360"/>
      </w:pPr>
      <w:rPr>
        <w:rFonts w:ascii="Symbol" w:hAnsi="Symbol" w:hint="default"/>
        <w:sz w:val="16"/>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E9D30A8"/>
    <w:multiLevelType w:val="hybridMultilevel"/>
    <w:tmpl w:val="A1C0D3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D85349"/>
    <w:multiLevelType w:val="hybridMultilevel"/>
    <w:tmpl w:val="12D4C8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71BFA"/>
    <w:multiLevelType w:val="hybridMultilevel"/>
    <w:tmpl w:val="E4CADD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0B3C7C"/>
    <w:multiLevelType w:val="hybridMultilevel"/>
    <w:tmpl w:val="4134DCC2"/>
    <w:lvl w:ilvl="0" w:tplc="0C090001">
      <w:start w:val="1"/>
      <w:numFmt w:val="bullet"/>
      <w:lvlText w:val=""/>
      <w:lvlJc w:val="left"/>
      <w:pPr>
        <w:ind w:left="720" w:hanging="360"/>
      </w:pPr>
      <w:rPr>
        <w:rFonts w:ascii="Symbol" w:hAnsi="Symbol" w:hint="default"/>
      </w:rPr>
    </w:lvl>
    <w:lvl w:ilvl="1" w:tplc="5FDAADD8">
      <w:start w:val="1"/>
      <w:numFmt w:val="bullet"/>
      <w:lvlText w:val=""/>
      <w:lvlJc w:val="left"/>
      <w:pPr>
        <w:ind w:left="1440" w:hanging="360"/>
      </w:pPr>
      <w:rPr>
        <w:rFonts w:ascii="Symbol" w:hAnsi="Symbo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6E6715"/>
    <w:multiLevelType w:val="hybridMultilevel"/>
    <w:tmpl w:val="B0DEB914"/>
    <w:lvl w:ilvl="0" w:tplc="0C090019">
      <w:start w:val="1"/>
      <w:numFmt w:val="lowerLetter"/>
      <w:lvlText w:val="%1."/>
      <w:lvlJc w:val="left"/>
      <w:pPr>
        <w:ind w:left="720" w:hanging="360"/>
      </w:pPr>
      <w:rPr>
        <w:rFonts w:hint="default"/>
      </w:rPr>
    </w:lvl>
    <w:lvl w:ilvl="1" w:tplc="5470C0E2">
      <w:start w:val="1"/>
      <w:numFmt w:val="lowerLetter"/>
      <w:lvlText w:val="%2."/>
      <w:lvlJc w:val="left"/>
      <w:pPr>
        <w:ind w:left="1800" w:hanging="720"/>
      </w:pPr>
      <w:rPr>
        <w:rFonts w:ascii="Arial" w:hAnsi="Arial" w:hint="default"/>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6547EC"/>
    <w:multiLevelType w:val="hybridMultilevel"/>
    <w:tmpl w:val="0C766E40"/>
    <w:lvl w:ilvl="0" w:tplc="5470C0E2">
      <w:start w:val="1"/>
      <w:numFmt w:val="lowerLetter"/>
      <w:lvlText w:val="%1."/>
      <w:lvlJc w:val="left"/>
      <w:pPr>
        <w:ind w:left="720" w:hanging="360"/>
      </w:pPr>
      <w:rPr>
        <w:rFonts w:ascii="Arial" w:hAnsi="Arial" w:hint="default"/>
        <w:sz w:val="20"/>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8C1567"/>
    <w:multiLevelType w:val="multilevel"/>
    <w:tmpl w:val="83C6C858"/>
    <w:lvl w:ilvl="0">
      <w:start w:val="1"/>
      <w:numFmt w:val="decimal"/>
      <w:lvlText w:val="%1"/>
      <w:lvlJc w:val="left"/>
      <w:pPr>
        <w:ind w:left="360" w:hanging="360"/>
      </w:pPr>
      <w:rPr>
        <w:rFonts w:hint="default"/>
      </w:rPr>
    </w:lvl>
    <w:lvl w:ilvl="1">
      <w:start w:val="1"/>
      <w:numFmt w:val="bullet"/>
      <w:lvlText w:val=""/>
      <w:lvlJc w:val="left"/>
      <w:pPr>
        <w:ind w:left="719" w:hanging="435"/>
      </w:pPr>
      <w:rPr>
        <w:rFonts w:ascii="Symbol" w:hAnsi="Symbol" w:hint="default"/>
        <w:b w:val="0"/>
        <w:color w:val="54575A" w:themeColor="text1"/>
        <w:sz w:val="20"/>
      </w:rPr>
    </w:lvl>
    <w:lvl w:ilvl="2">
      <w:start w:val="1"/>
      <w:numFmt w:val="bullet"/>
      <w:lvlText w:val=""/>
      <w:lvlJc w:val="left"/>
      <w:pPr>
        <w:ind w:left="1288" w:hanging="720"/>
      </w:pPr>
      <w:rPr>
        <w:rFonts w:ascii="Symbol" w:hAnsi="Symbol"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8" w15:restartNumberingAfterBreak="0">
    <w:nsid w:val="3CCD44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5D628C"/>
    <w:multiLevelType w:val="hybridMultilevel"/>
    <w:tmpl w:val="0C766E40"/>
    <w:lvl w:ilvl="0" w:tplc="5470C0E2">
      <w:start w:val="1"/>
      <w:numFmt w:val="lowerLetter"/>
      <w:lvlText w:val="%1."/>
      <w:lvlJc w:val="left"/>
      <w:pPr>
        <w:ind w:left="720" w:hanging="360"/>
      </w:pPr>
      <w:rPr>
        <w:rFonts w:ascii="Arial" w:hAnsi="Arial" w:hint="default"/>
        <w:sz w:val="20"/>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2C1ECB"/>
    <w:multiLevelType w:val="hybridMultilevel"/>
    <w:tmpl w:val="006802BC"/>
    <w:lvl w:ilvl="0" w:tplc="2D90679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5163B"/>
    <w:multiLevelType w:val="hybridMultilevel"/>
    <w:tmpl w:val="0C766E40"/>
    <w:lvl w:ilvl="0" w:tplc="5470C0E2">
      <w:start w:val="1"/>
      <w:numFmt w:val="lowerLetter"/>
      <w:lvlText w:val="%1."/>
      <w:lvlJc w:val="left"/>
      <w:pPr>
        <w:ind w:left="1572" w:hanging="360"/>
      </w:pPr>
      <w:rPr>
        <w:rFonts w:ascii="Arial" w:hAnsi="Arial" w:hint="default"/>
        <w:sz w:val="20"/>
      </w:rPr>
    </w:lvl>
    <w:lvl w:ilvl="1" w:tplc="0C090003">
      <w:start w:val="1"/>
      <w:numFmt w:val="bullet"/>
      <w:lvlText w:val="o"/>
      <w:lvlJc w:val="left"/>
      <w:pPr>
        <w:ind w:left="2292" w:hanging="360"/>
      </w:pPr>
      <w:rPr>
        <w:rFonts w:ascii="Courier New" w:hAnsi="Courier New" w:cs="Symbol"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Symbol"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Symbol" w:hint="default"/>
      </w:rPr>
    </w:lvl>
    <w:lvl w:ilvl="8" w:tplc="0C090005" w:tentative="1">
      <w:start w:val="1"/>
      <w:numFmt w:val="bullet"/>
      <w:lvlText w:val=""/>
      <w:lvlJc w:val="left"/>
      <w:pPr>
        <w:ind w:left="7332" w:hanging="360"/>
      </w:pPr>
      <w:rPr>
        <w:rFonts w:ascii="Wingdings" w:hAnsi="Wingdings" w:hint="default"/>
      </w:rPr>
    </w:lvl>
  </w:abstractNum>
  <w:abstractNum w:abstractNumId="22" w15:restartNumberingAfterBreak="0">
    <w:nsid w:val="46E6237F"/>
    <w:multiLevelType w:val="hybridMultilevel"/>
    <w:tmpl w:val="722428E4"/>
    <w:lvl w:ilvl="0" w:tplc="0C090019">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4A044023"/>
    <w:multiLevelType w:val="hybridMultilevel"/>
    <w:tmpl w:val="78A60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1F30FA"/>
    <w:multiLevelType w:val="hybridMultilevel"/>
    <w:tmpl w:val="B01A5A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64ACC"/>
    <w:multiLevelType w:val="hybridMultilevel"/>
    <w:tmpl w:val="DBE69132"/>
    <w:lvl w:ilvl="0" w:tplc="99F83F6A">
      <w:start w:val="1"/>
      <w:numFmt w:val="decimal"/>
      <w:lvlText w:val="%1."/>
      <w:lvlJc w:val="left"/>
      <w:pPr>
        <w:ind w:left="360" w:hanging="360"/>
      </w:pPr>
      <w:rPr>
        <w:rFonts w:ascii="Arial" w:eastAsia="Cambria"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8263AD"/>
    <w:multiLevelType w:val="hybridMultilevel"/>
    <w:tmpl w:val="65D2B5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D231EF"/>
    <w:multiLevelType w:val="hybridMultilevel"/>
    <w:tmpl w:val="EED60F54"/>
    <w:lvl w:ilvl="0" w:tplc="4E6A8D3A">
      <w:start w:val="1"/>
      <w:numFmt w:val="lowerLetter"/>
      <w:lvlText w:val="%1."/>
      <w:lvlJc w:val="left"/>
      <w:pPr>
        <w:ind w:left="1856" w:hanging="360"/>
      </w:pPr>
      <w:rPr>
        <w:rFonts w:ascii="Arial" w:hAnsi="Arial" w:hint="default"/>
        <w:color w:val="54575A" w:themeColor="text1"/>
        <w:sz w:val="20"/>
      </w:rPr>
    </w:lvl>
    <w:lvl w:ilvl="1" w:tplc="04090003" w:tentative="1">
      <w:start w:val="1"/>
      <w:numFmt w:val="bullet"/>
      <w:lvlText w:val="o"/>
      <w:lvlJc w:val="left"/>
      <w:pPr>
        <w:ind w:left="2576" w:hanging="360"/>
      </w:pPr>
      <w:rPr>
        <w:rFonts w:ascii="Courier New" w:hAnsi="Courier New" w:cs="Symbol"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Symbol"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Symbol" w:hint="default"/>
      </w:rPr>
    </w:lvl>
    <w:lvl w:ilvl="8" w:tplc="04090005" w:tentative="1">
      <w:start w:val="1"/>
      <w:numFmt w:val="bullet"/>
      <w:lvlText w:val=""/>
      <w:lvlJc w:val="left"/>
      <w:pPr>
        <w:ind w:left="7616" w:hanging="360"/>
      </w:pPr>
      <w:rPr>
        <w:rFonts w:ascii="Wingdings" w:hAnsi="Wingdings" w:hint="default"/>
      </w:rPr>
    </w:lvl>
  </w:abstractNum>
  <w:abstractNum w:abstractNumId="28" w15:restartNumberingAfterBreak="0">
    <w:nsid w:val="534B29EF"/>
    <w:multiLevelType w:val="hybridMultilevel"/>
    <w:tmpl w:val="F530C832"/>
    <w:lvl w:ilvl="0" w:tplc="0C090001">
      <w:start w:val="1"/>
      <w:numFmt w:val="bullet"/>
      <w:lvlText w:val=""/>
      <w:lvlJc w:val="left"/>
      <w:pPr>
        <w:ind w:left="1079" w:hanging="360"/>
      </w:pPr>
      <w:rPr>
        <w:rFonts w:ascii="Symbol" w:hAnsi="Symbol" w:hint="default"/>
      </w:rPr>
    </w:lvl>
    <w:lvl w:ilvl="1" w:tplc="04090001">
      <w:start w:val="1"/>
      <w:numFmt w:val="bullet"/>
      <w:lvlText w:val=""/>
      <w:lvlJc w:val="left"/>
      <w:pPr>
        <w:ind w:left="1799" w:hanging="360"/>
      </w:pPr>
      <w:rPr>
        <w:rFonts w:ascii="Symbol" w:hAnsi="Symbol"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9" w15:restartNumberingAfterBreak="0">
    <w:nsid w:val="5457463D"/>
    <w:multiLevelType w:val="multilevel"/>
    <w:tmpl w:val="F238E52C"/>
    <w:lvl w:ilvl="0">
      <w:start w:val="1"/>
      <w:numFmt w:val="decimal"/>
      <w:lvlText w:val="%1"/>
      <w:lvlJc w:val="left"/>
      <w:pPr>
        <w:ind w:left="360" w:hanging="360"/>
      </w:pPr>
      <w:rPr>
        <w:rFonts w:hint="default"/>
      </w:rPr>
    </w:lvl>
    <w:lvl w:ilvl="1">
      <w:start w:val="1"/>
      <w:numFmt w:val="decimal"/>
      <w:isLgl/>
      <w:lvlText w:val="%1.%2"/>
      <w:lvlJc w:val="left"/>
      <w:pPr>
        <w:ind w:left="719" w:hanging="435"/>
      </w:pPr>
      <w:rPr>
        <w:rFonts w:hint="default"/>
        <w:b/>
        <w:color w:val="54575A" w:themeColor="text1"/>
        <w:sz w:val="2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0" w15:restartNumberingAfterBreak="0">
    <w:nsid w:val="588B0E14"/>
    <w:multiLevelType w:val="hybridMultilevel"/>
    <w:tmpl w:val="97A4F3E4"/>
    <w:lvl w:ilvl="0" w:tplc="744AB482">
      <w:start w:val="1"/>
      <w:numFmt w:val="bullet"/>
      <w:lvlText w:val=""/>
      <w:lvlJc w:val="left"/>
      <w:pPr>
        <w:ind w:left="927" w:hanging="360"/>
      </w:pPr>
      <w:rPr>
        <w:rFonts w:ascii="Symbol" w:hAnsi="Symbol" w:hint="default"/>
        <w:sz w:val="16"/>
      </w:rPr>
    </w:lvl>
    <w:lvl w:ilvl="1" w:tplc="744AB482">
      <w:start w:val="1"/>
      <w:numFmt w:val="bullet"/>
      <w:lvlText w:val=""/>
      <w:lvlJc w:val="left"/>
      <w:pPr>
        <w:ind w:left="1647" w:hanging="360"/>
      </w:pPr>
      <w:rPr>
        <w:rFonts w:ascii="Symbol" w:hAnsi="Symbol" w:hint="default"/>
        <w:sz w:val="16"/>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8E0573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92766B"/>
    <w:multiLevelType w:val="hybridMultilevel"/>
    <w:tmpl w:val="D7FEDD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814F76"/>
    <w:multiLevelType w:val="hybridMultilevel"/>
    <w:tmpl w:val="2B18960A"/>
    <w:lvl w:ilvl="0" w:tplc="0C090001">
      <w:start w:val="1"/>
      <w:numFmt w:val="bullet"/>
      <w:lvlText w:val=""/>
      <w:lvlJc w:val="left"/>
      <w:pPr>
        <w:ind w:left="1496" w:hanging="360"/>
      </w:pPr>
      <w:rPr>
        <w:rFonts w:ascii="Symbol" w:hAnsi="Symbol" w:hint="default"/>
        <w:color w:val="54575A" w:themeColor="text1"/>
        <w:sz w:val="20"/>
      </w:rPr>
    </w:lvl>
    <w:lvl w:ilvl="1" w:tplc="04090003" w:tentative="1">
      <w:start w:val="1"/>
      <w:numFmt w:val="bullet"/>
      <w:lvlText w:val="o"/>
      <w:lvlJc w:val="left"/>
      <w:pPr>
        <w:ind w:left="2216" w:hanging="360"/>
      </w:pPr>
      <w:rPr>
        <w:rFonts w:ascii="Courier New" w:hAnsi="Courier New" w:cs="Symbol"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Symbol"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Symbol" w:hint="default"/>
      </w:rPr>
    </w:lvl>
    <w:lvl w:ilvl="8" w:tplc="04090005" w:tentative="1">
      <w:start w:val="1"/>
      <w:numFmt w:val="bullet"/>
      <w:lvlText w:val=""/>
      <w:lvlJc w:val="left"/>
      <w:pPr>
        <w:ind w:left="7256" w:hanging="360"/>
      </w:pPr>
      <w:rPr>
        <w:rFonts w:ascii="Wingdings" w:hAnsi="Wingdings" w:hint="default"/>
      </w:rPr>
    </w:lvl>
  </w:abstractNum>
  <w:abstractNum w:abstractNumId="34" w15:restartNumberingAfterBreak="0">
    <w:nsid w:val="5F435EBC"/>
    <w:multiLevelType w:val="hybridMultilevel"/>
    <w:tmpl w:val="50EAB6BA"/>
    <w:lvl w:ilvl="0" w:tplc="0C090001">
      <w:start w:val="1"/>
      <w:numFmt w:val="bullet"/>
      <w:lvlText w:val=""/>
      <w:lvlJc w:val="left"/>
      <w:pPr>
        <w:ind w:left="644" w:hanging="360"/>
      </w:pPr>
      <w:rPr>
        <w:rFonts w:ascii="Symbol" w:hAnsi="Symbol" w:hint="default"/>
        <w:b w:val="0"/>
        <w:color w:val="54575A"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FA92167"/>
    <w:multiLevelType w:val="hybridMultilevel"/>
    <w:tmpl w:val="52BC5FA8"/>
    <w:lvl w:ilvl="0" w:tplc="0C090001">
      <w:start w:val="1"/>
      <w:numFmt w:val="bullet"/>
      <w:lvlText w:val=""/>
      <w:lvlJc w:val="left"/>
      <w:pPr>
        <w:ind w:left="1080" w:hanging="360"/>
      </w:pPr>
      <w:rPr>
        <w:rFonts w:ascii="Symbol" w:hAnsi="Symbol" w:hint="default"/>
      </w:rPr>
    </w:lvl>
    <w:lvl w:ilvl="1" w:tplc="5470C0E2">
      <w:start w:val="1"/>
      <w:numFmt w:val="lowerLetter"/>
      <w:lvlText w:val="%2."/>
      <w:lvlJc w:val="left"/>
      <w:pPr>
        <w:ind w:left="2160" w:hanging="720"/>
      </w:pPr>
      <w:rPr>
        <w:rFonts w:ascii="Arial" w:hAnsi="Arial" w:hint="default"/>
        <w:sz w:val="20"/>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4415EB1"/>
    <w:multiLevelType w:val="hybridMultilevel"/>
    <w:tmpl w:val="EE6E75BA"/>
    <w:lvl w:ilvl="0" w:tplc="0C090001">
      <w:start w:val="1"/>
      <w:numFmt w:val="bullet"/>
      <w:lvlText w:val=""/>
      <w:lvlJc w:val="left"/>
      <w:pPr>
        <w:ind w:left="1404" w:hanging="360"/>
      </w:pPr>
      <w:rPr>
        <w:rFonts w:ascii="Symbol" w:hAnsi="Symbol" w:hint="default"/>
      </w:rPr>
    </w:lvl>
    <w:lvl w:ilvl="1" w:tplc="5470C0E2">
      <w:start w:val="1"/>
      <w:numFmt w:val="lowerLetter"/>
      <w:lvlText w:val="%2."/>
      <w:lvlJc w:val="left"/>
      <w:pPr>
        <w:ind w:left="2484" w:hanging="720"/>
      </w:pPr>
      <w:rPr>
        <w:rFonts w:ascii="Arial" w:hAnsi="Arial" w:hint="default"/>
        <w:sz w:val="20"/>
      </w:rPr>
    </w:lvl>
    <w:lvl w:ilvl="2" w:tplc="0C090005">
      <w:start w:val="1"/>
      <w:numFmt w:val="bullet"/>
      <w:lvlText w:val=""/>
      <w:lvlJc w:val="left"/>
      <w:pPr>
        <w:ind w:left="2844" w:hanging="360"/>
      </w:pPr>
      <w:rPr>
        <w:rFonts w:ascii="Wingdings" w:hAnsi="Wingdings" w:hint="default"/>
      </w:rPr>
    </w:lvl>
    <w:lvl w:ilvl="3" w:tplc="0C090001" w:tentative="1">
      <w:start w:val="1"/>
      <w:numFmt w:val="bullet"/>
      <w:lvlText w:val=""/>
      <w:lvlJc w:val="left"/>
      <w:pPr>
        <w:ind w:left="3564" w:hanging="360"/>
      </w:pPr>
      <w:rPr>
        <w:rFonts w:ascii="Symbol" w:hAnsi="Symbol" w:hint="default"/>
      </w:rPr>
    </w:lvl>
    <w:lvl w:ilvl="4" w:tplc="0C090003" w:tentative="1">
      <w:start w:val="1"/>
      <w:numFmt w:val="bullet"/>
      <w:lvlText w:val="o"/>
      <w:lvlJc w:val="left"/>
      <w:pPr>
        <w:ind w:left="4284" w:hanging="360"/>
      </w:pPr>
      <w:rPr>
        <w:rFonts w:ascii="Courier New" w:hAnsi="Courier New" w:hint="default"/>
      </w:rPr>
    </w:lvl>
    <w:lvl w:ilvl="5" w:tplc="0C090005" w:tentative="1">
      <w:start w:val="1"/>
      <w:numFmt w:val="bullet"/>
      <w:lvlText w:val=""/>
      <w:lvlJc w:val="left"/>
      <w:pPr>
        <w:ind w:left="5004" w:hanging="360"/>
      </w:pPr>
      <w:rPr>
        <w:rFonts w:ascii="Wingdings" w:hAnsi="Wingdings" w:hint="default"/>
      </w:rPr>
    </w:lvl>
    <w:lvl w:ilvl="6" w:tplc="0C090001" w:tentative="1">
      <w:start w:val="1"/>
      <w:numFmt w:val="bullet"/>
      <w:lvlText w:val=""/>
      <w:lvlJc w:val="left"/>
      <w:pPr>
        <w:ind w:left="5724" w:hanging="360"/>
      </w:pPr>
      <w:rPr>
        <w:rFonts w:ascii="Symbol" w:hAnsi="Symbol" w:hint="default"/>
      </w:rPr>
    </w:lvl>
    <w:lvl w:ilvl="7" w:tplc="0C090003" w:tentative="1">
      <w:start w:val="1"/>
      <w:numFmt w:val="bullet"/>
      <w:lvlText w:val="o"/>
      <w:lvlJc w:val="left"/>
      <w:pPr>
        <w:ind w:left="6444" w:hanging="360"/>
      </w:pPr>
      <w:rPr>
        <w:rFonts w:ascii="Courier New" w:hAnsi="Courier New" w:hint="default"/>
      </w:rPr>
    </w:lvl>
    <w:lvl w:ilvl="8" w:tplc="0C090005" w:tentative="1">
      <w:start w:val="1"/>
      <w:numFmt w:val="bullet"/>
      <w:lvlText w:val=""/>
      <w:lvlJc w:val="left"/>
      <w:pPr>
        <w:ind w:left="7164" w:hanging="360"/>
      </w:pPr>
      <w:rPr>
        <w:rFonts w:ascii="Wingdings" w:hAnsi="Wingdings" w:hint="default"/>
      </w:rPr>
    </w:lvl>
  </w:abstractNum>
  <w:abstractNum w:abstractNumId="37" w15:restartNumberingAfterBreak="0">
    <w:nsid w:val="64C63F24"/>
    <w:multiLevelType w:val="hybridMultilevel"/>
    <w:tmpl w:val="32369612"/>
    <w:lvl w:ilvl="0" w:tplc="0C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67178"/>
    <w:multiLevelType w:val="hybridMultilevel"/>
    <w:tmpl w:val="A37438C6"/>
    <w:lvl w:ilvl="0" w:tplc="72825C5A">
      <w:start w:val="1"/>
      <w:numFmt w:val="bullet"/>
      <w:lvlText w:val=""/>
      <w:lvlJc w:val="left"/>
      <w:pPr>
        <w:ind w:left="720" w:hanging="360"/>
      </w:pPr>
      <w:rPr>
        <w:rFonts w:ascii="Symbol" w:hAnsi="Symbol" w:hint="default"/>
        <w:color w:val="54575A" w:themeColor="text1"/>
      </w:rPr>
    </w:lvl>
    <w:lvl w:ilvl="1" w:tplc="5FDAADD8">
      <w:start w:val="1"/>
      <w:numFmt w:val="bullet"/>
      <w:lvlText w:val=""/>
      <w:lvlJc w:val="left"/>
      <w:pPr>
        <w:ind w:left="1440" w:hanging="360"/>
      </w:pPr>
      <w:rPr>
        <w:rFonts w:ascii="Symbol" w:hAnsi="Symbo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B91B6F"/>
    <w:multiLevelType w:val="multilevel"/>
    <w:tmpl w:val="5776E67E"/>
    <w:lvl w:ilvl="0">
      <w:start w:val="1"/>
      <w:numFmt w:val="decimal"/>
      <w:lvlText w:val="%1"/>
      <w:lvlJc w:val="left"/>
      <w:pPr>
        <w:ind w:left="360" w:hanging="360"/>
      </w:pPr>
      <w:rPr>
        <w:rFonts w:hint="default"/>
      </w:rPr>
    </w:lvl>
    <w:lvl w:ilvl="1">
      <w:start w:val="1"/>
      <w:numFmt w:val="bullet"/>
      <w:lvlText w:val=""/>
      <w:lvlJc w:val="left"/>
      <w:pPr>
        <w:ind w:left="719" w:hanging="435"/>
      </w:pPr>
      <w:rPr>
        <w:rFonts w:ascii="Symbol" w:hAnsi="Symbol" w:hint="default"/>
        <w:b w:val="0"/>
        <w:color w:val="54575A" w:themeColor="text1"/>
        <w:sz w:val="2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0" w15:restartNumberingAfterBreak="0">
    <w:nsid w:val="72D46DB4"/>
    <w:multiLevelType w:val="hybridMultilevel"/>
    <w:tmpl w:val="A784ECC6"/>
    <w:lvl w:ilvl="0" w:tplc="EAC08100">
      <w:start w:val="1"/>
      <w:numFmt w:val="lowerLetter"/>
      <w:lvlText w:val="%1."/>
      <w:lvlJc w:val="left"/>
      <w:pPr>
        <w:ind w:left="720" w:hanging="360"/>
      </w:pPr>
      <w:rPr>
        <w:b w:val="0"/>
        <w:color w:val="54575A"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D1ECA"/>
    <w:multiLevelType w:val="multilevel"/>
    <w:tmpl w:val="79CE3CE8"/>
    <w:lvl w:ilvl="0">
      <w:start w:val="1"/>
      <w:numFmt w:val="decimal"/>
      <w:lvlText w:val="%1"/>
      <w:lvlJc w:val="left"/>
      <w:pPr>
        <w:ind w:left="360" w:hanging="360"/>
      </w:pPr>
      <w:rPr>
        <w:rFonts w:hint="default"/>
      </w:rPr>
    </w:lvl>
    <w:lvl w:ilvl="1">
      <w:start w:val="1"/>
      <w:numFmt w:val="decimal"/>
      <w:isLgl/>
      <w:lvlText w:val="%1.%2"/>
      <w:lvlJc w:val="left"/>
      <w:pPr>
        <w:ind w:left="719" w:hanging="435"/>
      </w:pPr>
      <w:rPr>
        <w:rFonts w:hint="default"/>
        <w:b w:val="0"/>
        <w:color w:val="54575A" w:themeColor="text1"/>
        <w:sz w:val="2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2" w15:restartNumberingAfterBreak="0">
    <w:nsid w:val="775F56F7"/>
    <w:multiLevelType w:val="hybridMultilevel"/>
    <w:tmpl w:val="701C6E22"/>
    <w:lvl w:ilvl="0" w:tplc="EE0E4462">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pStyle w:val="Dash0"/>
      <w:lvlText w:val="–"/>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31660"/>
    <w:multiLevelType w:val="multilevel"/>
    <w:tmpl w:val="C4183F12"/>
    <w:numStyleLink w:val="AHPRANumberedlist"/>
  </w:abstractNum>
  <w:abstractNum w:abstractNumId="44" w15:restartNumberingAfterBreak="0">
    <w:nsid w:val="7D2C4974"/>
    <w:multiLevelType w:val="hybridMultilevel"/>
    <w:tmpl w:val="40CAF1AA"/>
    <w:lvl w:ilvl="0" w:tplc="B9B8431A">
      <w:start w:val="1"/>
      <w:numFmt w:val="lowerLetter"/>
      <w:lvlText w:val="%1."/>
      <w:lvlJc w:val="left"/>
      <w:pPr>
        <w:ind w:left="1287" w:hanging="360"/>
      </w:pPr>
      <w:rPr>
        <w:rFonts w:ascii="Arial" w:hAnsi="Arial" w:hint="default"/>
        <w:color w:val="54575A" w:themeColor="text1"/>
        <w:sz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2"/>
  </w:num>
  <w:num w:numId="2">
    <w:abstractNumId w:val="24"/>
  </w:num>
  <w:num w:numId="3">
    <w:abstractNumId w:val="42"/>
  </w:num>
  <w:num w:numId="4">
    <w:abstractNumId w:val="44"/>
  </w:num>
  <w:num w:numId="5">
    <w:abstractNumId w:val="27"/>
  </w:num>
  <w:num w:numId="6">
    <w:abstractNumId w:val="6"/>
  </w:num>
  <w:num w:numId="7">
    <w:abstractNumId w:val="40"/>
  </w:num>
  <w:num w:numId="8">
    <w:abstractNumId w:val="21"/>
  </w:num>
  <w:num w:numId="9">
    <w:abstractNumId w:val="19"/>
  </w:num>
  <w:num w:numId="10">
    <w:abstractNumId w:val="38"/>
  </w:num>
  <w:num w:numId="11">
    <w:abstractNumId w:val="14"/>
  </w:num>
  <w:num w:numId="12">
    <w:abstractNumId w:val="20"/>
  </w:num>
  <w:num w:numId="13">
    <w:abstractNumId w:val="15"/>
  </w:num>
  <w:num w:numId="14">
    <w:abstractNumId w:val="23"/>
  </w:num>
  <w:num w:numId="15">
    <w:abstractNumId w:val="16"/>
  </w:num>
  <w:num w:numId="16">
    <w:abstractNumId w:val="29"/>
  </w:num>
  <w:num w:numId="17">
    <w:abstractNumId w:val="18"/>
  </w:num>
  <w:num w:numId="18">
    <w:abstractNumId w:val="1"/>
  </w:num>
  <w:num w:numId="19">
    <w:abstractNumId w:val="31"/>
  </w:num>
  <w:num w:numId="20">
    <w:abstractNumId w:val="5"/>
  </w:num>
  <w:num w:numId="21">
    <w:abstractNumId w:val="8"/>
  </w:num>
  <w:num w:numId="22">
    <w:abstractNumId w:val="36"/>
  </w:num>
  <w:num w:numId="23">
    <w:abstractNumId w:val="28"/>
  </w:num>
  <w:num w:numId="24">
    <w:abstractNumId w:val="39"/>
  </w:num>
  <w:num w:numId="25">
    <w:abstractNumId w:val="4"/>
  </w:num>
  <w:num w:numId="26">
    <w:abstractNumId w:val="10"/>
  </w:num>
  <w:num w:numId="27">
    <w:abstractNumId w:val="37"/>
  </w:num>
  <w:num w:numId="28">
    <w:abstractNumId w:val="35"/>
  </w:num>
  <w:num w:numId="29">
    <w:abstractNumId w:val="7"/>
  </w:num>
  <w:num w:numId="30">
    <w:abstractNumId w:val="34"/>
  </w:num>
  <w:num w:numId="31">
    <w:abstractNumId w:val="33"/>
  </w:num>
  <w:num w:numId="32">
    <w:abstractNumId w:val="9"/>
  </w:num>
  <w:num w:numId="33">
    <w:abstractNumId w:val="41"/>
  </w:num>
  <w:num w:numId="34">
    <w:abstractNumId w:val="0"/>
  </w:num>
  <w:num w:numId="35">
    <w:abstractNumId w:val="11"/>
  </w:num>
  <w:num w:numId="36">
    <w:abstractNumId w:val="17"/>
  </w:num>
  <w:num w:numId="37">
    <w:abstractNumId w:val="30"/>
  </w:num>
  <w:num w:numId="38">
    <w:abstractNumId w:val="2"/>
  </w:num>
  <w:num w:numId="39">
    <w:abstractNumId w:val="43"/>
  </w:num>
  <w:num w:numId="40">
    <w:abstractNumId w:val="25"/>
  </w:num>
  <w:num w:numId="41">
    <w:abstractNumId w:val="3"/>
  </w:num>
  <w:num w:numId="42">
    <w:abstractNumId w:val="32"/>
  </w:num>
  <w:num w:numId="43">
    <w:abstractNumId w:val="26"/>
  </w:num>
  <w:num w:numId="44">
    <w:abstractNumId w:val="2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2300">
      <o:colormru v:ext="edit" colors="#d5f6ff,#e1f9ff"/>
      <o:colormenu v:ext="edit" fillcolor="none" strokecolor="none"/>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40306F"/>
    <w:rsid w:val="0001301F"/>
    <w:rsid w:val="00021B60"/>
    <w:rsid w:val="000558FE"/>
    <w:rsid w:val="00095A24"/>
    <w:rsid w:val="00103F42"/>
    <w:rsid w:val="00156BCE"/>
    <w:rsid w:val="001738A1"/>
    <w:rsid w:val="001765B8"/>
    <w:rsid w:val="00291FD1"/>
    <w:rsid w:val="002D2B88"/>
    <w:rsid w:val="002F7994"/>
    <w:rsid w:val="00310C3D"/>
    <w:rsid w:val="00320B6B"/>
    <w:rsid w:val="00386970"/>
    <w:rsid w:val="0040306F"/>
    <w:rsid w:val="0049777A"/>
    <w:rsid w:val="004B00EA"/>
    <w:rsid w:val="00551A8D"/>
    <w:rsid w:val="00557DE3"/>
    <w:rsid w:val="005974CD"/>
    <w:rsid w:val="005B031F"/>
    <w:rsid w:val="005B750D"/>
    <w:rsid w:val="005B7922"/>
    <w:rsid w:val="005C04C4"/>
    <w:rsid w:val="006067A7"/>
    <w:rsid w:val="006078A7"/>
    <w:rsid w:val="00652BE8"/>
    <w:rsid w:val="006A4CBB"/>
    <w:rsid w:val="006C0F69"/>
    <w:rsid w:val="006E2E83"/>
    <w:rsid w:val="00750FC0"/>
    <w:rsid w:val="00785F95"/>
    <w:rsid w:val="007A5AB2"/>
    <w:rsid w:val="007B6B45"/>
    <w:rsid w:val="007F7F6B"/>
    <w:rsid w:val="00803111"/>
    <w:rsid w:val="00821FE2"/>
    <w:rsid w:val="00837CD3"/>
    <w:rsid w:val="008614A0"/>
    <w:rsid w:val="008757C2"/>
    <w:rsid w:val="008A5812"/>
    <w:rsid w:val="00933CC1"/>
    <w:rsid w:val="009C0246"/>
    <w:rsid w:val="009D1A62"/>
    <w:rsid w:val="00A00466"/>
    <w:rsid w:val="00A111DB"/>
    <w:rsid w:val="00A11E78"/>
    <w:rsid w:val="00A23C60"/>
    <w:rsid w:val="00A60999"/>
    <w:rsid w:val="00B200FF"/>
    <w:rsid w:val="00B577E4"/>
    <w:rsid w:val="00B6012E"/>
    <w:rsid w:val="00B93F89"/>
    <w:rsid w:val="00BC4DE4"/>
    <w:rsid w:val="00BE1674"/>
    <w:rsid w:val="00BE7EB2"/>
    <w:rsid w:val="00BF766D"/>
    <w:rsid w:val="00C03CB5"/>
    <w:rsid w:val="00C6329A"/>
    <w:rsid w:val="00CB4590"/>
    <w:rsid w:val="00D46A42"/>
    <w:rsid w:val="00D843F6"/>
    <w:rsid w:val="00DD00DC"/>
    <w:rsid w:val="00E45884"/>
    <w:rsid w:val="00ED5F41"/>
    <w:rsid w:val="00EF6E75"/>
    <w:rsid w:val="00F57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300">
      <o:colormru v:ext="edit" colors="#d5f6ff,#e1f9ff"/>
      <o:colormenu v:ext="edit" fillcolor="none" strokecolor="none"/>
    </o:shapedefaults>
    <o:shapelayout v:ext="edit">
      <o:idmap v:ext="edit" data="1"/>
    </o:shapelayout>
  </w:shapeDefaults>
  <w:decimalSymbol w:val="."/>
  <w:listSeparator w:val=","/>
  <w15:docId w15:val="{6CC29264-7A3F-45BF-AF02-2292A077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62"/>
  </w:style>
  <w:style w:type="paragraph" w:styleId="Heading2">
    <w:name w:val="heading 2"/>
    <w:basedOn w:val="Normal"/>
    <w:next w:val="Normal"/>
    <w:link w:val="Heading2Char"/>
    <w:uiPriority w:val="9"/>
    <w:unhideWhenUsed/>
    <w:qFormat/>
    <w:rsid w:val="00CB4590"/>
    <w:pPr>
      <w:keepNext/>
      <w:keepLines/>
      <w:spacing w:before="200" w:after="0"/>
      <w:outlineLvl w:val="1"/>
    </w:pPr>
    <w:rPr>
      <w:rFonts w:asciiTheme="majorHAnsi" w:eastAsiaTheme="majorEastAsia" w:hAnsiTheme="majorHAnsi" w:cstheme="majorBidi"/>
      <w:b/>
      <w:bCs/>
      <w:color w:val="00B4E3" w:themeColor="accent1"/>
      <w:sz w:val="26"/>
      <w:szCs w:val="26"/>
    </w:rPr>
  </w:style>
  <w:style w:type="paragraph" w:styleId="Heading3">
    <w:name w:val="heading 3"/>
    <w:basedOn w:val="Normal"/>
    <w:next w:val="Normal"/>
    <w:link w:val="Heading3Char"/>
    <w:uiPriority w:val="9"/>
    <w:unhideWhenUsed/>
    <w:qFormat/>
    <w:rsid w:val="00837CD3"/>
    <w:pPr>
      <w:keepNext/>
      <w:keepLines/>
      <w:spacing w:before="200" w:after="0"/>
      <w:outlineLvl w:val="2"/>
    </w:pPr>
    <w:rPr>
      <w:rFonts w:asciiTheme="majorHAnsi" w:eastAsiaTheme="majorEastAsia" w:hAnsiTheme="majorHAnsi" w:cstheme="majorBidi"/>
      <w:b/>
      <w:bCs/>
      <w:color w:val="00B4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40306F"/>
    <w:pPr>
      <w:spacing w:before="200" w:after="200" w:line="240" w:lineRule="auto"/>
      <w:outlineLvl w:val="0"/>
    </w:pPr>
    <w:rPr>
      <w:rFonts w:ascii="Arial" w:eastAsia="Cambria" w:hAnsi="Arial" w:cs="Arial"/>
      <w:color w:val="00BCCE"/>
      <w:sz w:val="32"/>
      <w:szCs w:val="52"/>
    </w:rPr>
  </w:style>
  <w:style w:type="paragraph" w:customStyle="1" w:styleId="AHPRAbodytext">
    <w:name w:val="AHPRA body text"/>
    <w:basedOn w:val="Normal"/>
    <w:rsid w:val="0040306F"/>
    <w:pPr>
      <w:spacing w:after="200" w:line="240" w:lineRule="auto"/>
    </w:pPr>
    <w:rPr>
      <w:rFonts w:ascii="Arial" w:eastAsia="Cambria" w:hAnsi="Arial" w:cs="Arial"/>
      <w:sz w:val="20"/>
      <w:szCs w:val="24"/>
    </w:rPr>
  </w:style>
  <w:style w:type="paragraph" w:customStyle="1" w:styleId="AHPRAHeadline">
    <w:name w:val="AHPRA Headline"/>
    <w:basedOn w:val="Normal"/>
    <w:qFormat/>
    <w:rsid w:val="0040306F"/>
    <w:pPr>
      <w:spacing w:after="200" w:line="240" w:lineRule="auto"/>
    </w:pPr>
    <w:rPr>
      <w:rFonts w:ascii="Arial" w:eastAsia="Cambria" w:hAnsi="Arial" w:cs="Times New Roman"/>
      <w:color w:val="008EC4"/>
      <w:sz w:val="28"/>
      <w:szCs w:val="24"/>
    </w:rPr>
  </w:style>
  <w:style w:type="paragraph" w:customStyle="1" w:styleId="AHPRADocumentsubheading">
    <w:name w:val="AHPRA Document subheading"/>
    <w:basedOn w:val="Normal"/>
    <w:next w:val="Normal"/>
    <w:qFormat/>
    <w:rsid w:val="0040306F"/>
    <w:pPr>
      <w:spacing w:after="200" w:line="240" w:lineRule="auto"/>
      <w:outlineLvl w:val="0"/>
    </w:pPr>
    <w:rPr>
      <w:rFonts w:ascii="Arial" w:eastAsia="Cambria" w:hAnsi="Arial" w:cs="Arial"/>
      <w:color w:val="808080"/>
      <w:sz w:val="28"/>
      <w:szCs w:val="52"/>
    </w:rPr>
  </w:style>
  <w:style w:type="paragraph" w:customStyle="1" w:styleId="AHPRASubheading">
    <w:name w:val="AHPRA Subheading"/>
    <w:basedOn w:val="Normal"/>
    <w:qFormat/>
    <w:rsid w:val="0040306F"/>
    <w:pPr>
      <w:spacing w:before="200" w:after="200" w:line="240" w:lineRule="auto"/>
    </w:pPr>
    <w:rPr>
      <w:rFonts w:ascii="Arial" w:eastAsia="Cambria" w:hAnsi="Arial" w:cs="Times New Roman"/>
      <w:b/>
      <w:color w:val="008EC4"/>
      <w:sz w:val="20"/>
      <w:szCs w:val="24"/>
    </w:rPr>
  </w:style>
  <w:style w:type="paragraph" w:styleId="FootnoteText">
    <w:name w:val="footnote text"/>
    <w:basedOn w:val="Normal"/>
    <w:link w:val="FootnoteTextChar"/>
    <w:rsid w:val="0040306F"/>
    <w:pPr>
      <w:spacing w:after="200" w:line="240" w:lineRule="auto"/>
    </w:pPr>
    <w:rPr>
      <w:rFonts w:ascii="Cambria" w:eastAsia="Cambria" w:hAnsi="Cambria" w:cs="Times New Roman"/>
      <w:sz w:val="20"/>
      <w:szCs w:val="20"/>
    </w:rPr>
  </w:style>
  <w:style w:type="character" w:customStyle="1" w:styleId="FootnoteTextChar">
    <w:name w:val="Footnote Text Char"/>
    <w:basedOn w:val="DefaultParagraphFont"/>
    <w:link w:val="FootnoteText"/>
    <w:rsid w:val="0040306F"/>
    <w:rPr>
      <w:rFonts w:ascii="Cambria" w:eastAsia="Cambria" w:hAnsi="Cambria" w:cs="Times New Roman"/>
      <w:sz w:val="20"/>
      <w:szCs w:val="20"/>
    </w:rPr>
  </w:style>
  <w:style w:type="character" w:styleId="FootnoteReference">
    <w:name w:val="footnote reference"/>
    <w:rsid w:val="0040306F"/>
    <w:rPr>
      <w:vertAlign w:val="superscript"/>
    </w:rPr>
  </w:style>
  <w:style w:type="character" w:styleId="Hyperlink">
    <w:name w:val="Hyperlink"/>
    <w:unhideWhenUsed/>
    <w:rsid w:val="0040306F"/>
    <w:rPr>
      <w:color w:val="0000FF"/>
      <w:u w:val="single"/>
    </w:rPr>
  </w:style>
  <w:style w:type="paragraph" w:customStyle="1" w:styleId="AHPRASubhead">
    <w:name w:val="AHPRA Subhead"/>
    <w:basedOn w:val="Normal"/>
    <w:qFormat/>
    <w:rsid w:val="0040306F"/>
    <w:pPr>
      <w:spacing w:after="200" w:line="240" w:lineRule="auto"/>
    </w:pPr>
    <w:rPr>
      <w:rFonts w:ascii="Arial" w:eastAsia="Cambria" w:hAnsi="Arial" w:cs="Times New Roman"/>
      <w:b/>
      <w:color w:val="008EC4"/>
      <w:sz w:val="20"/>
      <w:szCs w:val="24"/>
      <w:lang w:val="en-US"/>
    </w:rPr>
  </w:style>
  <w:style w:type="character" w:customStyle="1" w:styleId="ColorfulList-Accent1Char">
    <w:name w:val="Colorful List - Accent 1 Char"/>
    <w:link w:val="ColorfulList-Accent1"/>
    <w:uiPriority w:val="34"/>
    <w:locked/>
    <w:rsid w:val="0040306F"/>
    <w:rPr>
      <w:rFonts w:ascii="Arial" w:hAnsi="Arial"/>
      <w:sz w:val="24"/>
      <w:szCs w:val="24"/>
      <w:lang w:val="en-AU"/>
    </w:rPr>
  </w:style>
  <w:style w:type="paragraph" w:customStyle="1" w:styleId="Bullet0">
    <w:name w:val="Bullet+0"/>
    <w:basedOn w:val="Normal"/>
    <w:rsid w:val="0040306F"/>
    <w:pPr>
      <w:numPr>
        <w:numId w:val="3"/>
      </w:numPr>
      <w:spacing w:after="0" w:line="360" w:lineRule="auto"/>
    </w:pPr>
    <w:rPr>
      <w:rFonts w:ascii="Times New Roman" w:eastAsia="Times New Roman" w:hAnsi="Times New Roman" w:cs="Times New Roman"/>
      <w:color w:val="000000"/>
      <w:sz w:val="24"/>
      <w:szCs w:val="24"/>
    </w:rPr>
  </w:style>
  <w:style w:type="paragraph" w:customStyle="1" w:styleId="Dash0">
    <w:name w:val="Dash+0"/>
    <w:basedOn w:val="Normal"/>
    <w:rsid w:val="0040306F"/>
    <w:pPr>
      <w:numPr>
        <w:ilvl w:val="1"/>
        <w:numId w:val="3"/>
      </w:numPr>
      <w:spacing w:after="0" w:line="360" w:lineRule="auto"/>
    </w:pPr>
    <w:rPr>
      <w:rFonts w:ascii="Times New Roman" w:eastAsia="Times New Roman" w:hAnsi="Times New Roman" w:cs="Times New Roman"/>
      <w:color w:val="000000"/>
      <w:sz w:val="24"/>
      <w:szCs w:val="24"/>
    </w:rPr>
  </w:style>
  <w:style w:type="paragraph" w:customStyle="1" w:styleId="Bullet6">
    <w:name w:val="Bullet+6"/>
    <w:basedOn w:val="Bullet0"/>
    <w:rsid w:val="0040306F"/>
    <w:pPr>
      <w:spacing w:after="120"/>
    </w:pPr>
  </w:style>
  <w:style w:type="character" w:customStyle="1" w:styleId="A3">
    <w:name w:val="A3"/>
    <w:uiPriority w:val="99"/>
    <w:rsid w:val="0040306F"/>
    <w:rPr>
      <w:rFonts w:cs="Adobe Garamond Pro"/>
      <w:color w:val="000000"/>
    </w:rPr>
  </w:style>
  <w:style w:type="paragraph" w:customStyle="1" w:styleId="AHPRAbody">
    <w:name w:val="AHPRA body"/>
    <w:basedOn w:val="Normal"/>
    <w:link w:val="AHPRAbodyChar"/>
    <w:uiPriority w:val="99"/>
    <w:qFormat/>
    <w:rsid w:val="0040306F"/>
    <w:pPr>
      <w:spacing w:after="200" w:line="240" w:lineRule="auto"/>
    </w:pPr>
    <w:rPr>
      <w:rFonts w:ascii="Arial" w:eastAsia="Cambria" w:hAnsi="Arial" w:cs="Times New Roman"/>
      <w:sz w:val="20"/>
      <w:szCs w:val="24"/>
    </w:rPr>
  </w:style>
  <w:style w:type="character" w:customStyle="1" w:styleId="AHPRAbodyChar">
    <w:name w:val="AHPRA body Char"/>
    <w:link w:val="AHPRAbody"/>
    <w:uiPriority w:val="99"/>
    <w:rsid w:val="0040306F"/>
    <w:rPr>
      <w:rFonts w:ascii="Arial" w:eastAsia="Cambria" w:hAnsi="Arial" w:cs="Times New Roman"/>
      <w:sz w:val="20"/>
      <w:szCs w:val="24"/>
    </w:rPr>
  </w:style>
  <w:style w:type="table" w:styleId="ColorfulList-Accent1">
    <w:name w:val="Colorful List Accent 1"/>
    <w:basedOn w:val="TableNormal"/>
    <w:link w:val="ColorfulList-Accent1Char"/>
    <w:uiPriority w:val="34"/>
    <w:rsid w:val="0040306F"/>
    <w:pPr>
      <w:spacing w:after="0" w:line="240" w:lineRule="auto"/>
    </w:pPr>
    <w:rPr>
      <w:rFonts w:ascii="Arial" w:hAnsi="Arial"/>
      <w:sz w:val="24"/>
      <w:szCs w:val="24"/>
    </w:rPr>
    <w:tblPr>
      <w:tblStyleRowBandSize w:val="1"/>
      <w:tblStyleColBandSize w:val="1"/>
    </w:tblPr>
    <w:tcPr>
      <w:shd w:val="clear" w:color="auto" w:fill="E3F9FF" w:themeFill="accent1" w:themeFillTint="19"/>
    </w:tcPr>
    <w:tblStylePr w:type="firstRow">
      <w:tblPr/>
      <w:tcPr>
        <w:tcBorders>
          <w:bottom w:val="single" w:sz="12" w:space="0" w:color="FFFFFF" w:themeColor="background1"/>
        </w:tcBorders>
        <w:shd w:val="clear" w:color="auto" w:fill="008D88" w:themeFill="accent2" w:themeFillShade="CC"/>
      </w:tcPr>
    </w:tblStylePr>
    <w:tblStylePr w:type="lastRow">
      <w:tblPr/>
      <w:tcPr>
        <w:tcBorders>
          <w:top w:val="single" w:sz="12" w:space="0" w:color="54575A"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B9F0FF" w:themeFill="accent1" w:themeFillTint="3F"/>
      </w:tcPr>
    </w:tblStylePr>
    <w:tblStylePr w:type="band1Horz">
      <w:tblPr/>
      <w:tcPr>
        <w:shd w:val="clear" w:color="auto" w:fill="C6F3FF" w:themeFill="accent1" w:themeFillTint="33"/>
      </w:tcPr>
    </w:tblStylePr>
  </w:style>
  <w:style w:type="paragraph" w:styleId="Header">
    <w:name w:val="header"/>
    <w:basedOn w:val="Normal"/>
    <w:link w:val="HeaderChar"/>
    <w:uiPriority w:val="99"/>
    <w:unhideWhenUsed/>
    <w:rsid w:val="00403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06F"/>
  </w:style>
  <w:style w:type="paragraph" w:styleId="Footer">
    <w:name w:val="footer"/>
    <w:basedOn w:val="Normal"/>
    <w:link w:val="FooterChar"/>
    <w:uiPriority w:val="99"/>
    <w:unhideWhenUsed/>
    <w:rsid w:val="00403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06F"/>
  </w:style>
  <w:style w:type="character" w:customStyle="1" w:styleId="Heading2Char">
    <w:name w:val="Heading 2 Char"/>
    <w:basedOn w:val="DefaultParagraphFont"/>
    <w:link w:val="Heading2"/>
    <w:uiPriority w:val="9"/>
    <w:rsid w:val="00CB4590"/>
    <w:rPr>
      <w:rFonts w:asciiTheme="majorHAnsi" w:eastAsiaTheme="majorEastAsia" w:hAnsiTheme="majorHAnsi" w:cstheme="majorBidi"/>
      <w:b/>
      <w:bCs/>
      <w:color w:val="00B4E3" w:themeColor="accent1"/>
      <w:sz w:val="26"/>
      <w:szCs w:val="26"/>
    </w:rPr>
  </w:style>
  <w:style w:type="paragraph" w:styleId="ListParagraph">
    <w:name w:val="List Paragraph"/>
    <w:basedOn w:val="Normal"/>
    <w:link w:val="ListParagraphChar"/>
    <w:uiPriority w:val="34"/>
    <w:qFormat/>
    <w:rsid w:val="00D843F6"/>
    <w:pPr>
      <w:ind w:left="720"/>
      <w:contextualSpacing/>
    </w:pPr>
  </w:style>
  <w:style w:type="character" w:customStyle="1" w:styleId="Heading3Char">
    <w:name w:val="Heading 3 Char"/>
    <w:basedOn w:val="DefaultParagraphFont"/>
    <w:link w:val="Heading3"/>
    <w:uiPriority w:val="9"/>
    <w:rsid w:val="00837CD3"/>
    <w:rPr>
      <w:rFonts w:asciiTheme="majorHAnsi" w:eastAsiaTheme="majorEastAsia" w:hAnsiTheme="majorHAnsi" w:cstheme="majorBidi"/>
      <w:b/>
      <w:bCs/>
      <w:color w:val="00B4E3" w:themeColor="accent1"/>
    </w:rPr>
  </w:style>
  <w:style w:type="paragraph" w:customStyle="1" w:styleId="AHPRATitle">
    <w:name w:val="AHPRA Title"/>
    <w:basedOn w:val="Normal"/>
    <w:next w:val="AHPRAHeadline"/>
    <w:uiPriority w:val="99"/>
    <w:qFormat/>
    <w:rsid w:val="00A23C60"/>
    <w:pPr>
      <w:spacing w:after="200" w:line="240" w:lineRule="auto"/>
      <w:outlineLvl w:val="0"/>
    </w:pPr>
    <w:rPr>
      <w:rFonts w:ascii="Arial" w:eastAsia="Cambria" w:hAnsi="Arial" w:cs="Arial"/>
      <w:color w:val="808080"/>
      <w:sz w:val="44"/>
      <w:szCs w:val="52"/>
      <w:lang w:val="en-US"/>
    </w:rPr>
  </w:style>
  <w:style w:type="paragraph" w:customStyle="1" w:styleId="AHPRANumberedlistlevel2">
    <w:name w:val="AHPRA Numbered list level 2"/>
    <w:basedOn w:val="AHPRANumberedlistlevel1"/>
    <w:rsid w:val="00A23C60"/>
    <w:pPr>
      <w:numPr>
        <w:ilvl w:val="1"/>
      </w:numPr>
    </w:pPr>
  </w:style>
  <w:style w:type="numbering" w:customStyle="1" w:styleId="AHPRANumberedlist">
    <w:name w:val="AHPRA Numbered list"/>
    <w:uiPriority w:val="99"/>
    <w:rsid w:val="00A23C60"/>
    <w:pPr>
      <w:numPr>
        <w:numId w:val="38"/>
      </w:numPr>
    </w:pPr>
  </w:style>
  <w:style w:type="paragraph" w:customStyle="1" w:styleId="AHPRANumberedlistlevel1">
    <w:name w:val="AHPRA Numbered list level 1"/>
    <w:basedOn w:val="Normal"/>
    <w:rsid w:val="00A23C60"/>
    <w:pPr>
      <w:numPr>
        <w:numId w:val="39"/>
      </w:numPr>
      <w:spacing w:after="0" w:line="240" w:lineRule="auto"/>
    </w:pPr>
    <w:rPr>
      <w:rFonts w:ascii="Arial" w:eastAsia="Cambria" w:hAnsi="Arial" w:cs="Times New Roman"/>
      <w:sz w:val="20"/>
      <w:szCs w:val="24"/>
    </w:rPr>
  </w:style>
  <w:style w:type="paragraph" w:customStyle="1" w:styleId="AHPRANumberedlistlevel3">
    <w:name w:val="AHPRA Numbered list level 3"/>
    <w:basedOn w:val="AHPRANumberedlistlevel1"/>
    <w:rsid w:val="00A23C60"/>
    <w:pPr>
      <w:numPr>
        <w:ilvl w:val="2"/>
      </w:numPr>
    </w:pPr>
  </w:style>
  <w:style w:type="character" w:styleId="CommentReference">
    <w:name w:val="annotation reference"/>
    <w:basedOn w:val="DefaultParagraphFont"/>
    <w:uiPriority w:val="99"/>
    <w:unhideWhenUsed/>
    <w:rsid w:val="00A23C60"/>
    <w:rPr>
      <w:sz w:val="16"/>
      <w:szCs w:val="16"/>
    </w:rPr>
  </w:style>
  <w:style w:type="paragraph" w:styleId="CommentText">
    <w:name w:val="annotation text"/>
    <w:basedOn w:val="Normal"/>
    <w:link w:val="CommentTextChar"/>
    <w:unhideWhenUsed/>
    <w:rsid w:val="00A23C60"/>
    <w:pPr>
      <w:spacing w:after="200" w:line="240" w:lineRule="auto"/>
    </w:pPr>
    <w:rPr>
      <w:rFonts w:ascii="Arial" w:eastAsia="Cambria" w:hAnsi="Arial" w:cs="Times New Roman"/>
      <w:sz w:val="20"/>
      <w:szCs w:val="20"/>
    </w:rPr>
  </w:style>
  <w:style w:type="character" w:customStyle="1" w:styleId="CommentTextChar">
    <w:name w:val="Comment Text Char"/>
    <w:basedOn w:val="DefaultParagraphFont"/>
    <w:link w:val="CommentText"/>
    <w:rsid w:val="00A23C60"/>
    <w:rPr>
      <w:rFonts w:ascii="Arial" w:eastAsia="Cambria" w:hAnsi="Arial" w:cs="Times New Roman"/>
      <w:sz w:val="20"/>
      <w:szCs w:val="20"/>
    </w:rPr>
  </w:style>
  <w:style w:type="paragraph" w:customStyle="1" w:styleId="Default">
    <w:name w:val="Default"/>
    <w:rsid w:val="00A23C60"/>
    <w:pPr>
      <w:autoSpaceDE w:val="0"/>
      <w:autoSpaceDN w:val="0"/>
      <w:adjustRightInd w:val="0"/>
      <w:spacing w:after="0" w:line="240" w:lineRule="auto"/>
    </w:pPr>
    <w:rPr>
      <w:rFonts w:ascii="Arial" w:eastAsia="Cambria" w:hAnsi="Arial" w:cs="Arial"/>
      <w:color w:val="000000"/>
      <w:sz w:val="24"/>
      <w:szCs w:val="24"/>
    </w:rPr>
  </w:style>
  <w:style w:type="character" w:customStyle="1" w:styleId="ListParagraphChar">
    <w:name w:val="List Paragraph Char"/>
    <w:link w:val="ListParagraph"/>
    <w:uiPriority w:val="34"/>
    <w:locked/>
    <w:rsid w:val="00A23C60"/>
  </w:style>
  <w:style w:type="paragraph" w:styleId="BalloonText">
    <w:name w:val="Balloon Text"/>
    <w:basedOn w:val="Normal"/>
    <w:link w:val="BalloonTextChar"/>
    <w:uiPriority w:val="99"/>
    <w:semiHidden/>
    <w:unhideWhenUsed/>
    <w:rsid w:val="00A2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C60"/>
    <w:rPr>
      <w:rFonts w:ascii="Tahoma" w:hAnsi="Tahoma" w:cs="Tahoma"/>
      <w:sz w:val="16"/>
      <w:szCs w:val="16"/>
    </w:rPr>
  </w:style>
  <w:style w:type="paragraph" w:customStyle="1" w:styleId="TableText">
    <w:name w:val="TableText"/>
    <w:basedOn w:val="Normal"/>
    <w:uiPriority w:val="99"/>
    <w:rsid w:val="00A23C60"/>
    <w:pPr>
      <w:keepNext/>
      <w:spacing w:before="120" w:after="120" w:line="240" w:lineRule="auto"/>
    </w:pPr>
    <w:rPr>
      <w:rFonts w:ascii="Helvetica Narrow" w:eastAsia="Calibri" w:hAnsi="Helvetica Narrow" w:cs="Times New Roman"/>
      <w:color w:val="000000"/>
      <w:sz w:val="20"/>
      <w:szCs w:val="24"/>
    </w:rPr>
  </w:style>
  <w:style w:type="paragraph" w:customStyle="1" w:styleId="AHPRAfirstpagefooter">
    <w:name w:val="AHPRA first page footer"/>
    <w:basedOn w:val="Normal"/>
    <w:rsid w:val="00A23C60"/>
    <w:pPr>
      <w:spacing w:after="0" w:line="240" w:lineRule="auto"/>
      <w:jc w:val="center"/>
    </w:pPr>
    <w:rPr>
      <w:rFonts w:ascii="Arial" w:eastAsia="Cambria" w:hAnsi="Arial" w:cs="Arial"/>
      <w:b/>
      <w:color w:val="5F6062"/>
      <w:sz w:val="18"/>
      <w:szCs w:val="20"/>
    </w:rPr>
  </w:style>
  <w:style w:type="paragraph" w:styleId="CommentSubject">
    <w:name w:val="annotation subject"/>
    <w:basedOn w:val="CommentText"/>
    <w:next w:val="CommentText"/>
    <w:link w:val="CommentSubjectChar"/>
    <w:uiPriority w:val="99"/>
    <w:semiHidden/>
    <w:unhideWhenUsed/>
    <w:rsid w:val="00A23C6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3C60"/>
    <w:rPr>
      <w:rFonts w:ascii="Arial" w:eastAsia="Cambria" w:hAnsi="Arial" w:cs="Times New Roman"/>
      <w:b/>
      <w:bCs/>
      <w:sz w:val="20"/>
      <w:szCs w:val="20"/>
    </w:rPr>
  </w:style>
  <w:style w:type="paragraph" w:styleId="Revision">
    <w:name w:val="Revision"/>
    <w:hidden/>
    <w:uiPriority w:val="99"/>
    <w:semiHidden/>
    <w:rsid w:val="00A23C60"/>
    <w:pPr>
      <w:spacing w:after="0" w:line="240" w:lineRule="auto"/>
    </w:pPr>
  </w:style>
  <w:style w:type="character" w:styleId="FollowedHyperlink">
    <w:name w:val="FollowedHyperlink"/>
    <w:basedOn w:val="DefaultParagraphFont"/>
    <w:uiPriority w:val="99"/>
    <w:semiHidden/>
    <w:unhideWhenUsed/>
    <w:rsid w:val="00103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dboardconsultation@ahpra.gov.au"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medicalboard.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medicalboard.gov.au/Codes-Guidelines-Policies.aspx" TargetMode="Externa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medicalboard.gov.au/Codes-Guidelines-Policies/Social-media-policy.aspx"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hpra.gov.au/News/2017-04-11-chaperone-report.aspx" TargetMode="External"/><Relationship Id="rId22" Type="http://schemas.openxmlformats.org/officeDocument/2006/relationships/hyperlink" Target="http://www.medicalboard.gov.au" TargetMode="External"/><Relationship Id="rId27" Type="http://schemas.openxmlformats.org/officeDocument/2006/relationships/hyperlink" Target="http://www.ahpra.gov.au" TargetMode="Externa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humanrights.gov.au/our-work/sex-discrimination/guides/sexual-harassment" TargetMode="External"/><Relationship Id="rId1" Type="http://schemas.openxmlformats.org/officeDocument/2006/relationships/hyperlink" Target="http://www.ahpra.gov.au/About-AHPRA/Accessibility.aspx"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rgbClr val="54575A"/>
      </a:dk1>
      <a:lt1>
        <a:sysClr val="window" lastClr="FFFFFF"/>
      </a:lt1>
      <a:dk2>
        <a:srgbClr val="0B70B3"/>
      </a:dk2>
      <a:lt2>
        <a:srgbClr val="EEECE1"/>
      </a:lt2>
      <a:accent1>
        <a:srgbClr val="00B4E3"/>
      </a:accent1>
      <a:accent2>
        <a:srgbClr val="00B1AB"/>
      </a:accent2>
      <a:accent3>
        <a:srgbClr val="FBBD39"/>
      </a:accent3>
      <a:accent4>
        <a:srgbClr val="EA843F"/>
      </a:accent4>
      <a:accent5>
        <a:srgbClr val="C7374C"/>
      </a:accent5>
      <a:accent6>
        <a:srgbClr val="6F3B5C"/>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0680-25EF-4014-B3F4-7C9876E1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 Draft revised guidelines 'Sexual boundaries in the doctor-patient relationship'</dc:title>
  <dc:subject>Consultation</dc:subject>
  <dc:creator>Medical Board</dc:creator>
  <cp:lastModifiedBy>Sheryl Kamath</cp:lastModifiedBy>
  <cp:revision>2</cp:revision>
  <cp:lastPrinted>2018-01-18T03:12:00Z</cp:lastPrinted>
  <dcterms:created xsi:type="dcterms:W3CDTF">2018-01-22T00:56:00Z</dcterms:created>
  <dcterms:modified xsi:type="dcterms:W3CDTF">2018-01-22T00:56:00Z</dcterms:modified>
</cp:coreProperties>
</file>