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0DC" w:rsidRDefault="006B10DC">
      <w:pPr>
        <w:pStyle w:val="BodyText"/>
        <w:spacing w:before="53"/>
        <w:ind w:left="220"/>
        <w:rPr>
          <w:color w:val="5F6062"/>
        </w:rPr>
      </w:pPr>
      <w:bookmarkStart w:id="0" w:name="Schedule_1:_Summary_of_services_to_be_pr"/>
      <w:bookmarkStart w:id="1" w:name="_GoBack"/>
      <w:bookmarkEnd w:id="0"/>
      <w:bookmarkEnd w:id="1"/>
    </w:p>
    <w:p w:rsidR="006B10DC" w:rsidRDefault="006B10DC">
      <w:pPr>
        <w:pStyle w:val="BodyText"/>
        <w:spacing w:before="53"/>
        <w:ind w:left="220"/>
        <w:rPr>
          <w:color w:val="5F6062"/>
        </w:rPr>
      </w:pPr>
    </w:p>
    <w:p w:rsidR="006B10DC" w:rsidRPr="002C6D22" w:rsidRDefault="006B10DC" w:rsidP="006B10DC">
      <w:pPr>
        <w:pStyle w:val="AHPRAbody"/>
        <w:spacing w:before="2000" w:after="2000"/>
        <w:jc w:val="center"/>
        <w:rPr>
          <w:color w:val="00BCE4"/>
          <w:sz w:val="44"/>
        </w:rPr>
      </w:pPr>
      <w:r w:rsidRPr="002C6D22">
        <w:rPr>
          <w:color w:val="00BCE4"/>
          <w:sz w:val="44"/>
        </w:rPr>
        <w:t>Health Profession Agreement</w:t>
      </w:r>
    </w:p>
    <w:p w:rsidR="006B10DC" w:rsidRPr="002C6D22" w:rsidRDefault="006B10DC" w:rsidP="006B10DC">
      <w:pPr>
        <w:pStyle w:val="AHPRADocumentsubheading"/>
        <w:spacing w:after="640"/>
        <w:jc w:val="center"/>
        <w:rPr>
          <w:sz w:val="44"/>
        </w:rPr>
      </w:pPr>
      <w:r w:rsidRPr="008E35BA">
        <w:rPr>
          <w:noProof/>
          <w:sz w:val="44"/>
        </w:rPr>
        <w:t>Osteopathy</w:t>
      </w:r>
      <w:r w:rsidRPr="002C6D22">
        <w:rPr>
          <w:sz w:val="44"/>
        </w:rPr>
        <w:t xml:space="preserve"> Board of Australia</w:t>
      </w:r>
    </w:p>
    <w:p w:rsidR="006B10DC" w:rsidRPr="002C6D22" w:rsidRDefault="006B10DC" w:rsidP="006B10DC">
      <w:pPr>
        <w:pStyle w:val="AHPRADocumentsubheading"/>
        <w:spacing w:after="640"/>
        <w:jc w:val="center"/>
        <w:rPr>
          <w:sz w:val="44"/>
        </w:rPr>
      </w:pPr>
      <w:r w:rsidRPr="002C6D22">
        <w:rPr>
          <w:sz w:val="44"/>
        </w:rPr>
        <w:t>and</w:t>
      </w:r>
    </w:p>
    <w:p w:rsidR="006B10DC" w:rsidRPr="002C6D22" w:rsidRDefault="006B10DC" w:rsidP="006B10DC">
      <w:pPr>
        <w:pStyle w:val="AHPRADocumentsubheading"/>
        <w:spacing w:after="640"/>
        <w:jc w:val="center"/>
        <w:rPr>
          <w:sz w:val="44"/>
        </w:rPr>
      </w:pPr>
      <w:r w:rsidRPr="002C6D22">
        <w:rPr>
          <w:sz w:val="44"/>
        </w:rPr>
        <w:t>The Australian Health Practitioner Regulation Agency</w:t>
      </w:r>
    </w:p>
    <w:p w:rsidR="006B10DC" w:rsidRPr="002C6D22" w:rsidRDefault="006B10DC" w:rsidP="006B10DC">
      <w:pPr>
        <w:pStyle w:val="AHPRADocumentsubheading"/>
        <w:spacing w:after="640"/>
        <w:jc w:val="center"/>
        <w:rPr>
          <w:sz w:val="44"/>
        </w:rPr>
      </w:pPr>
      <w:r>
        <w:rPr>
          <w:sz w:val="44"/>
        </w:rPr>
        <w:t>2016-20</w:t>
      </w:r>
    </w:p>
    <w:p w:rsidR="006B10DC" w:rsidRDefault="006B10DC" w:rsidP="006B10DC">
      <w:pPr>
        <w:rPr>
          <w:rFonts w:cs="Arial"/>
          <w:sz w:val="20"/>
        </w:rPr>
      </w:pPr>
      <w:r>
        <w:br w:type="page"/>
      </w:r>
    </w:p>
    <w:p w:rsidR="006B10DC" w:rsidRDefault="006B10DC" w:rsidP="006B10DC">
      <w:pPr>
        <w:pStyle w:val="AHPRADocumentsubheading"/>
        <w:jc w:val="center"/>
      </w:pPr>
      <w:r>
        <w:lastRenderedPageBreak/>
        <w:t>Health Profession Agreement</w:t>
      </w:r>
    </w:p>
    <w:p w:rsidR="006B10DC" w:rsidRDefault="006B10DC" w:rsidP="006B10DC">
      <w:pPr>
        <w:pStyle w:val="AHPRASubheading"/>
      </w:pPr>
      <w:r>
        <w:t>Preamble</w:t>
      </w:r>
    </w:p>
    <w:p w:rsidR="006B10DC" w:rsidRDefault="006B10DC" w:rsidP="006B10DC">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6B10DC" w:rsidRDefault="006B10DC" w:rsidP="006B10DC">
      <w:pPr>
        <w:pStyle w:val="Default"/>
        <w:numPr>
          <w:ilvl w:val="1"/>
          <w:numId w:val="10"/>
        </w:numPr>
        <w:spacing w:after="200"/>
        <w:ind w:left="357" w:hanging="357"/>
        <w:contextualSpacing/>
        <w:rPr>
          <w:sz w:val="20"/>
          <w:szCs w:val="20"/>
        </w:rPr>
      </w:pPr>
      <w:r>
        <w:rPr>
          <w:sz w:val="20"/>
          <w:szCs w:val="20"/>
        </w:rPr>
        <w:t xml:space="preserve">protect public safety, </w:t>
      </w:r>
    </w:p>
    <w:p w:rsidR="006B10DC" w:rsidRDefault="006B10DC" w:rsidP="006B10DC">
      <w:pPr>
        <w:pStyle w:val="Default"/>
        <w:numPr>
          <w:ilvl w:val="1"/>
          <w:numId w:val="10"/>
        </w:numPr>
        <w:spacing w:after="200"/>
        <w:ind w:left="357" w:hanging="357"/>
        <w:contextualSpacing/>
        <w:rPr>
          <w:sz w:val="20"/>
          <w:szCs w:val="20"/>
        </w:rPr>
      </w:pPr>
      <w:r>
        <w:rPr>
          <w:sz w:val="20"/>
          <w:szCs w:val="20"/>
        </w:rPr>
        <w:t xml:space="preserve">facilitate workforce mobility for health practitioners, </w:t>
      </w:r>
    </w:p>
    <w:p w:rsidR="006B10DC" w:rsidRDefault="006B10DC" w:rsidP="006B10DC">
      <w:pPr>
        <w:pStyle w:val="Default"/>
        <w:numPr>
          <w:ilvl w:val="1"/>
          <w:numId w:val="10"/>
        </w:numPr>
        <w:spacing w:after="200"/>
        <w:ind w:left="357" w:hanging="357"/>
        <w:contextualSpacing/>
        <w:rPr>
          <w:sz w:val="20"/>
          <w:szCs w:val="20"/>
        </w:rPr>
      </w:pPr>
      <w:r>
        <w:rPr>
          <w:sz w:val="20"/>
          <w:szCs w:val="20"/>
        </w:rPr>
        <w:t xml:space="preserve">facilitate high-quality education and training of health practitioners, </w:t>
      </w:r>
    </w:p>
    <w:p w:rsidR="006B10DC" w:rsidRDefault="006B10DC" w:rsidP="006B10DC">
      <w:pPr>
        <w:pStyle w:val="Default"/>
        <w:numPr>
          <w:ilvl w:val="1"/>
          <w:numId w:val="10"/>
        </w:numPr>
        <w:spacing w:after="200"/>
        <w:ind w:left="357" w:hanging="357"/>
        <w:contextualSpacing/>
        <w:rPr>
          <w:sz w:val="20"/>
          <w:szCs w:val="20"/>
        </w:rPr>
      </w:pPr>
      <w:r>
        <w:rPr>
          <w:sz w:val="20"/>
          <w:szCs w:val="20"/>
        </w:rPr>
        <w:t xml:space="preserve">facilitate assessment of overseas-trained health practitioners, </w:t>
      </w:r>
    </w:p>
    <w:p w:rsidR="006B10DC" w:rsidRDefault="006B10DC" w:rsidP="006B10DC">
      <w:pPr>
        <w:pStyle w:val="Default"/>
        <w:numPr>
          <w:ilvl w:val="1"/>
          <w:numId w:val="10"/>
        </w:numPr>
        <w:spacing w:after="200"/>
        <w:ind w:left="357" w:hanging="357"/>
        <w:contextualSpacing/>
        <w:rPr>
          <w:sz w:val="20"/>
          <w:szCs w:val="20"/>
        </w:rPr>
      </w:pPr>
      <w:r>
        <w:rPr>
          <w:sz w:val="20"/>
          <w:szCs w:val="20"/>
        </w:rPr>
        <w:t xml:space="preserve">facilitate access to health services, and </w:t>
      </w:r>
    </w:p>
    <w:p w:rsidR="006B10DC" w:rsidRDefault="006B10DC" w:rsidP="006B10DC">
      <w:pPr>
        <w:pStyle w:val="Default"/>
        <w:numPr>
          <w:ilvl w:val="0"/>
          <w:numId w:val="11"/>
        </w:numPr>
        <w:spacing w:after="200"/>
        <w:rPr>
          <w:sz w:val="20"/>
          <w:szCs w:val="20"/>
        </w:rPr>
      </w:pPr>
      <w:r>
        <w:rPr>
          <w:sz w:val="20"/>
          <w:szCs w:val="20"/>
        </w:rPr>
        <w:t xml:space="preserve">development of a flexible, responsive and sustainable health workforce. </w:t>
      </w:r>
    </w:p>
    <w:p w:rsidR="006B10DC" w:rsidRDefault="006B10DC" w:rsidP="006B10DC">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6B10DC" w:rsidRDefault="006B10DC" w:rsidP="006B10DC">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6B10DC" w:rsidRDefault="006B10DC" w:rsidP="006B10DC">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6B10DC" w:rsidRDefault="006B10DC" w:rsidP="006B10DC">
      <w:pPr>
        <w:pStyle w:val="Default"/>
        <w:spacing w:after="200"/>
        <w:rPr>
          <w:sz w:val="20"/>
          <w:szCs w:val="20"/>
        </w:rPr>
      </w:pPr>
      <w:r>
        <w:rPr>
          <w:sz w:val="20"/>
          <w:szCs w:val="20"/>
        </w:rPr>
        <w:t xml:space="preserve">The National Law also requires each National Board to publish on its website the fees agreed to in this HPA. </w:t>
      </w:r>
    </w:p>
    <w:p w:rsidR="006B10DC" w:rsidRPr="00F960D5" w:rsidRDefault="006B10DC" w:rsidP="006B10DC">
      <w:pPr>
        <w:pStyle w:val="AHPRASubheading"/>
      </w:pPr>
      <w:r w:rsidRPr="00F960D5">
        <w:t xml:space="preserve">Accountabilities </w:t>
      </w:r>
    </w:p>
    <w:p w:rsidR="006B10DC" w:rsidRDefault="006B10DC" w:rsidP="006B10DC">
      <w:pPr>
        <w:pStyle w:val="Default"/>
        <w:spacing w:before="200" w:after="200"/>
        <w:rPr>
          <w:sz w:val="20"/>
          <w:szCs w:val="20"/>
        </w:rPr>
      </w:pPr>
      <w:r>
        <w:rPr>
          <w:b/>
          <w:bCs/>
          <w:sz w:val="20"/>
          <w:szCs w:val="20"/>
        </w:rPr>
        <w:t xml:space="preserve">Ministerial Council </w:t>
      </w:r>
    </w:p>
    <w:p w:rsidR="006B10DC" w:rsidRDefault="006B10DC" w:rsidP="006B10DC">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6B10DC" w:rsidRDefault="006B10DC" w:rsidP="006B10DC">
      <w:pPr>
        <w:pStyle w:val="Default"/>
        <w:spacing w:before="200" w:after="200"/>
        <w:rPr>
          <w:sz w:val="20"/>
          <w:szCs w:val="20"/>
        </w:rPr>
      </w:pPr>
      <w:r>
        <w:rPr>
          <w:b/>
          <w:bCs/>
          <w:sz w:val="20"/>
          <w:szCs w:val="20"/>
        </w:rPr>
        <w:t xml:space="preserve">National Boards </w:t>
      </w:r>
    </w:p>
    <w:p w:rsidR="006B10DC" w:rsidRDefault="006B10DC" w:rsidP="006B10DC">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6B10DC" w:rsidRDefault="006B10DC" w:rsidP="006B10DC">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6B10DC" w:rsidRDefault="006B10DC" w:rsidP="006B10DC">
      <w:pPr>
        <w:pStyle w:val="Default"/>
        <w:spacing w:before="200" w:after="200"/>
        <w:rPr>
          <w:sz w:val="20"/>
          <w:szCs w:val="20"/>
        </w:rPr>
      </w:pPr>
      <w:r>
        <w:rPr>
          <w:b/>
          <w:bCs/>
          <w:sz w:val="20"/>
          <w:szCs w:val="20"/>
        </w:rPr>
        <w:lastRenderedPageBreak/>
        <w:t xml:space="preserve">AHPRA </w:t>
      </w:r>
    </w:p>
    <w:p w:rsidR="006B10DC" w:rsidRPr="005847C7" w:rsidRDefault="006B10DC" w:rsidP="006B10DC">
      <w:pPr>
        <w:pStyle w:val="Default"/>
        <w:spacing w:after="200"/>
        <w:rPr>
          <w:sz w:val="20"/>
          <w:szCs w:val="20"/>
        </w:rPr>
      </w:pPr>
      <w:r w:rsidRPr="005847C7">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6B10DC" w:rsidRDefault="006B10DC" w:rsidP="006B10DC">
      <w:pPr>
        <w:autoSpaceDE w:val="0"/>
        <w:autoSpaceDN w:val="0"/>
        <w:adjustRightInd w:val="0"/>
        <w:rPr>
          <w:rFonts w:ascii="Arial" w:hAnsi="Arial" w:cs="Arial"/>
          <w:sz w:val="20"/>
          <w:szCs w:val="20"/>
        </w:rPr>
      </w:pPr>
      <w:r w:rsidRPr="005847C7">
        <w:rPr>
          <w:rFonts w:ascii="Arial" w:hAnsi="Arial" w:cs="Arial"/>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rsidR="005847C7" w:rsidRPr="005847C7" w:rsidRDefault="005847C7" w:rsidP="006B10DC">
      <w:pPr>
        <w:autoSpaceDE w:val="0"/>
        <w:autoSpaceDN w:val="0"/>
        <w:adjustRightInd w:val="0"/>
        <w:rPr>
          <w:rFonts w:ascii="Arial" w:hAnsi="Arial" w:cs="Arial"/>
          <w:sz w:val="20"/>
          <w:szCs w:val="20"/>
        </w:rPr>
      </w:pPr>
    </w:p>
    <w:p w:rsidR="006B10DC" w:rsidRDefault="005847C7" w:rsidP="006B10DC">
      <w:pPr>
        <w:autoSpaceDE w:val="0"/>
        <w:autoSpaceDN w:val="0"/>
        <w:adjustRightInd w:val="0"/>
        <w:rPr>
          <w:rFonts w:ascii="Arial" w:hAnsi="Arial" w:cs="Arial"/>
          <w:sz w:val="20"/>
          <w:szCs w:val="20"/>
        </w:rPr>
      </w:pPr>
      <w:r w:rsidRPr="005847C7">
        <w:rPr>
          <w:rFonts w:ascii="Arial" w:hAnsi="Arial" w:cs="Arial"/>
          <w:sz w:val="20"/>
          <w:szCs w:val="20"/>
        </w:rPr>
        <w:t>AHPRA and</w:t>
      </w:r>
      <w:r w:rsidR="006B10DC" w:rsidRPr="005847C7">
        <w:rPr>
          <w:rFonts w:ascii="Arial" w:hAnsi="Arial" w:cs="Arial"/>
          <w:sz w:val="20"/>
          <w:szCs w:val="20"/>
        </w:rPr>
        <w:t xml:space="preserve">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rsidR="005847C7" w:rsidRPr="005847C7" w:rsidRDefault="005847C7" w:rsidP="006B10DC">
      <w:pPr>
        <w:autoSpaceDE w:val="0"/>
        <w:autoSpaceDN w:val="0"/>
        <w:adjustRightInd w:val="0"/>
        <w:rPr>
          <w:rFonts w:ascii="Arial" w:hAnsi="Arial" w:cs="Arial"/>
          <w:sz w:val="20"/>
          <w:szCs w:val="20"/>
        </w:rPr>
      </w:pPr>
    </w:p>
    <w:p w:rsidR="006B10DC" w:rsidRPr="005847C7" w:rsidRDefault="006B10DC" w:rsidP="006B10DC">
      <w:pPr>
        <w:pStyle w:val="Default"/>
        <w:spacing w:after="200"/>
        <w:rPr>
          <w:sz w:val="20"/>
          <w:szCs w:val="20"/>
        </w:rPr>
      </w:pPr>
      <w:r w:rsidRPr="005847C7">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6B10DC" w:rsidRPr="00F960D5" w:rsidRDefault="006B10DC" w:rsidP="006B10DC">
      <w:pPr>
        <w:pStyle w:val="AHPRASubheading"/>
      </w:pPr>
      <w:r w:rsidRPr="00F960D5">
        <w:t xml:space="preserve">Purpose of this Agreement </w:t>
      </w:r>
    </w:p>
    <w:p w:rsidR="006B10DC" w:rsidRDefault="006B10DC" w:rsidP="006B10DC">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6B10DC" w:rsidRDefault="006B10DC" w:rsidP="006B10DC">
      <w:pPr>
        <w:pStyle w:val="Default"/>
        <w:numPr>
          <w:ilvl w:val="1"/>
          <w:numId w:val="12"/>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6B10DC" w:rsidRDefault="006B10DC" w:rsidP="006B10DC">
      <w:pPr>
        <w:pStyle w:val="Default"/>
        <w:numPr>
          <w:ilvl w:val="1"/>
          <w:numId w:val="12"/>
        </w:numPr>
        <w:spacing w:after="200"/>
        <w:ind w:left="357" w:hanging="357"/>
        <w:contextualSpacing/>
        <w:rPr>
          <w:sz w:val="20"/>
          <w:szCs w:val="20"/>
        </w:rPr>
      </w:pPr>
      <w:r>
        <w:rPr>
          <w:sz w:val="20"/>
          <w:szCs w:val="20"/>
        </w:rPr>
        <w:t>the National Board’s annual budget,</w:t>
      </w:r>
      <w:r w:rsidR="005847C7">
        <w:rPr>
          <w:sz w:val="20"/>
          <w:szCs w:val="20"/>
        </w:rPr>
        <w:t xml:space="preserve"> and</w:t>
      </w:r>
    </w:p>
    <w:p w:rsidR="006B10DC" w:rsidRDefault="006B10DC" w:rsidP="006B10DC">
      <w:pPr>
        <w:pStyle w:val="Default"/>
        <w:numPr>
          <w:ilvl w:val="0"/>
          <w:numId w:val="12"/>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6B10DC" w:rsidRDefault="006B10DC" w:rsidP="006B10DC">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6B10DC" w:rsidRDefault="006B10DC" w:rsidP="006B10DC">
      <w:pPr>
        <w:pStyle w:val="AHPRASubheading"/>
      </w:pPr>
      <w:r>
        <w:t>Scope of this Agreement</w:t>
      </w:r>
    </w:p>
    <w:p w:rsidR="006B10DC" w:rsidRDefault="006B10DC" w:rsidP="006B10DC">
      <w:pPr>
        <w:pStyle w:val="AHPRAbody"/>
      </w:pPr>
      <w:r>
        <w:t>This Agreement is for the period 1 July 2016 to 30 June 2020.</w:t>
      </w:r>
    </w:p>
    <w:p w:rsidR="006B10DC" w:rsidRPr="008B74AF" w:rsidRDefault="006B10DC" w:rsidP="006B10DC">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6B10DC" w:rsidRDefault="006B10DC" w:rsidP="006B10DC">
      <w:pPr>
        <w:rPr>
          <w:b/>
          <w:color w:val="007DC3"/>
          <w:sz w:val="20"/>
        </w:rPr>
      </w:pPr>
      <w:r>
        <w:br w:type="page"/>
      </w:r>
    </w:p>
    <w:p w:rsidR="006B10DC" w:rsidRPr="00F960D5" w:rsidRDefault="006B10DC" w:rsidP="006B10DC">
      <w:pPr>
        <w:pStyle w:val="AHPRASubheading"/>
      </w:pPr>
      <w:r w:rsidRPr="00F960D5">
        <w:lastRenderedPageBreak/>
        <w:t xml:space="preserve">Partnership principles </w:t>
      </w:r>
    </w:p>
    <w:p w:rsidR="006B10DC" w:rsidRDefault="006B10DC" w:rsidP="006B10DC">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6B10DC" w:rsidRDefault="006B10DC" w:rsidP="006B10DC">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6B10DC" w:rsidRDefault="006B10DC" w:rsidP="006B10DC">
      <w:pPr>
        <w:pStyle w:val="Default"/>
        <w:numPr>
          <w:ilvl w:val="1"/>
          <w:numId w:val="13"/>
        </w:numPr>
        <w:spacing w:after="200"/>
        <w:ind w:left="357" w:hanging="357"/>
        <w:contextualSpacing/>
        <w:rPr>
          <w:sz w:val="20"/>
          <w:szCs w:val="20"/>
        </w:rPr>
      </w:pPr>
      <w:r>
        <w:rPr>
          <w:sz w:val="20"/>
          <w:szCs w:val="20"/>
        </w:rPr>
        <w:t xml:space="preserve">Shared vision and values </w:t>
      </w:r>
    </w:p>
    <w:p w:rsidR="006B10DC" w:rsidRDefault="006B10DC" w:rsidP="006B10DC">
      <w:pPr>
        <w:pStyle w:val="Default"/>
        <w:numPr>
          <w:ilvl w:val="1"/>
          <w:numId w:val="13"/>
        </w:numPr>
        <w:spacing w:after="200"/>
        <w:ind w:left="357" w:hanging="357"/>
        <w:contextualSpacing/>
        <w:rPr>
          <w:sz w:val="20"/>
          <w:szCs w:val="20"/>
        </w:rPr>
      </w:pPr>
      <w:r>
        <w:rPr>
          <w:sz w:val="20"/>
          <w:szCs w:val="20"/>
        </w:rPr>
        <w:t xml:space="preserve">Integrity through interdependence </w:t>
      </w:r>
    </w:p>
    <w:p w:rsidR="006B10DC" w:rsidRDefault="006B10DC" w:rsidP="006B10DC">
      <w:pPr>
        <w:pStyle w:val="Default"/>
        <w:numPr>
          <w:ilvl w:val="1"/>
          <w:numId w:val="13"/>
        </w:numPr>
        <w:spacing w:after="200"/>
        <w:ind w:left="357" w:hanging="357"/>
        <w:contextualSpacing/>
        <w:rPr>
          <w:sz w:val="20"/>
          <w:szCs w:val="20"/>
        </w:rPr>
      </w:pPr>
      <w:r>
        <w:rPr>
          <w:sz w:val="20"/>
          <w:szCs w:val="20"/>
        </w:rPr>
        <w:t>Transpa</w:t>
      </w:r>
      <w:r w:rsidR="005847C7">
        <w:rPr>
          <w:sz w:val="20"/>
          <w:szCs w:val="20"/>
        </w:rPr>
        <w:t>rency and mutual accountability, and</w:t>
      </w:r>
    </w:p>
    <w:p w:rsidR="006B10DC" w:rsidRDefault="006B10DC" w:rsidP="006B10DC">
      <w:pPr>
        <w:pStyle w:val="Default"/>
        <w:numPr>
          <w:ilvl w:val="1"/>
          <w:numId w:val="13"/>
        </w:numPr>
        <w:spacing w:after="200"/>
        <w:ind w:left="357" w:hanging="357"/>
        <w:rPr>
          <w:sz w:val="20"/>
          <w:szCs w:val="20"/>
        </w:rPr>
      </w:pPr>
      <w:r>
        <w:rPr>
          <w:sz w:val="20"/>
          <w:szCs w:val="20"/>
        </w:rPr>
        <w:t xml:space="preserve">Commitment to joint learning </w:t>
      </w:r>
    </w:p>
    <w:p w:rsidR="006B10DC" w:rsidRDefault="006B10DC" w:rsidP="006B10DC">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6B10DC" w:rsidRDefault="006B10DC" w:rsidP="006B10DC">
      <w:pPr>
        <w:pStyle w:val="Default"/>
        <w:spacing w:after="200"/>
        <w:rPr>
          <w:sz w:val="20"/>
          <w:szCs w:val="20"/>
        </w:rPr>
      </w:pPr>
      <w:r>
        <w:rPr>
          <w:sz w:val="20"/>
          <w:szCs w:val="20"/>
        </w:rPr>
        <w:t xml:space="preserve">Each of the Partnership Principles is described in detail below. </w:t>
      </w:r>
    </w:p>
    <w:p w:rsidR="006B10DC" w:rsidRDefault="006B10DC" w:rsidP="006B10DC">
      <w:pPr>
        <w:pStyle w:val="AHPRASubheading"/>
      </w:pPr>
      <w:r>
        <w:t xml:space="preserve">1. Shared vision and values </w:t>
      </w:r>
    </w:p>
    <w:p w:rsidR="006B10DC" w:rsidRPr="00010343" w:rsidRDefault="006B10DC" w:rsidP="006B10DC">
      <w:pPr>
        <w:pStyle w:val="AHPRASubheadinglevel2"/>
        <w:rPr>
          <w:color w:val="auto"/>
        </w:rPr>
      </w:pPr>
      <w:r w:rsidRPr="00010343">
        <w:rPr>
          <w:color w:val="auto"/>
        </w:rPr>
        <w:t xml:space="preserve">This partnership between the National Board and AHPRA is built on a shared vision for a competent and flexible health workforce that meets the needs of the Australian community. </w:t>
      </w:r>
    </w:p>
    <w:p w:rsidR="006B10DC" w:rsidRPr="005847C7" w:rsidRDefault="006B10DC" w:rsidP="006B10DC">
      <w:pPr>
        <w:pStyle w:val="Default"/>
        <w:spacing w:after="200"/>
        <w:rPr>
          <w:sz w:val="20"/>
          <w:szCs w:val="20"/>
        </w:rPr>
      </w:pPr>
      <w:r>
        <w:rPr>
          <w:sz w:val="20"/>
          <w:szCs w:val="20"/>
        </w:rPr>
        <w:t xml:space="preserve">While recognising and respecting the different and complementary functions of the National Board </w:t>
      </w:r>
      <w:r w:rsidRPr="005847C7">
        <w:rPr>
          <w:sz w:val="20"/>
          <w:szCs w:val="20"/>
        </w:rPr>
        <w:t>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sidRPr="005847C7">
        <w:rPr>
          <w:b/>
          <w:bCs/>
          <w:sz w:val="20"/>
          <w:szCs w:val="20"/>
        </w:rPr>
        <w:t>Regulatory Principles</w:t>
      </w:r>
      <w:r w:rsidRPr="005847C7">
        <w:rPr>
          <w:sz w:val="20"/>
          <w:szCs w:val="20"/>
        </w:rPr>
        <w:t xml:space="preserve">) that will shape our thinking about regulatory decision-making. </w:t>
      </w:r>
    </w:p>
    <w:p w:rsidR="006B10DC" w:rsidRPr="005847C7" w:rsidRDefault="006B10DC" w:rsidP="006B10DC">
      <w:pPr>
        <w:pStyle w:val="Default"/>
        <w:spacing w:after="200"/>
        <w:rPr>
          <w:sz w:val="20"/>
          <w:szCs w:val="20"/>
        </w:rPr>
      </w:pPr>
      <w:r w:rsidRPr="005847C7">
        <w:rPr>
          <w:sz w:val="20"/>
          <w:szCs w:val="20"/>
        </w:rPr>
        <w:t xml:space="preserve">In our shared principles, we balance all the objectives of the National Scheme, but our primary consideration is to protect the public in accordance with good regulatory practice. </w:t>
      </w:r>
    </w:p>
    <w:p w:rsidR="006B10DC" w:rsidRPr="005847C7" w:rsidRDefault="006B10DC" w:rsidP="006B10DC">
      <w:pPr>
        <w:outlineLvl w:val="0"/>
        <w:rPr>
          <w:rFonts w:ascii="Arial" w:hAnsi="Arial" w:cs="Arial"/>
          <w:sz w:val="20"/>
          <w:szCs w:val="20"/>
        </w:rPr>
      </w:pPr>
      <w:r w:rsidRPr="005847C7">
        <w:rPr>
          <w:rFonts w:ascii="Arial" w:hAnsi="Arial" w:cs="Arial"/>
          <w:sz w:val="20"/>
          <w:szCs w:val="20"/>
        </w:rPr>
        <w:t>The Regulatory Principles incorporate the concept of risk-based regulation. This means that in all areas of our work we:</w:t>
      </w:r>
    </w:p>
    <w:p w:rsidR="006B10DC" w:rsidRPr="005847C7" w:rsidRDefault="006B10DC" w:rsidP="006B10DC">
      <w:pPr>
        <w:pStyle w:val="ListParagraph"/>
        <w:widowControl/>
        <w:numPr>
          <w:ilvl w:val="0"/>
          <w:numId w:val="14"/>
        </w:numPr>
        <w:autoSpaceDE w:val="0"/>
        <w:autoSpaceDN w:val="0"/>
        <w:adjustRightInd w:val="0"/>
        <w:spacing w:after="200"/>
        <w:ind w:left="357" w:hanging="357"/>
        <w:contextualSpacing/>
        <w:rPr>
          <w:rFonts w:ascii="Arial" w:hAnsi="Arial" w:cs="Arial"/>
          <w:color w:val="000000"/>
          <w:sz w:val="20"/>
          <w:szCs w:val="20"/>
        </w:rPr>
      </w:pPr>
      <w:r w:rsidRPr="005847C7">
        <w:rPr>
          <w:rFonts w:ascii="Arial" w:hAnsi="Arial" w:cs="Arial"/>
          <w:color w:val="000000"/>
          <w:sz w:val="20"/>
          <w:szCs w:val="20"/>
        </w:rPr>
        <w:t>identify the risks that we are obliged to respond to,</w:t>
      </w:r>
    </w:p>
    <w:p w:rsidR="006B10DC" w:rsidRPr="005847C7" w:rsidRDefault="006B10DC" w:rsidP="006B10DC">
      <w:pPr>
        <w:pStyle w:val="ListParagraph"/>
        <w:widowControl/>
        <w:numPr>
          <w:ilvl w:val="1"/>
          <w:numId w:val="14"/>
        </w:numPr>
        <w:autoSpaceDE w:val="0"/>
        <w:autoSpaceDN w:val="0"/>
        <w:adjustRightInd w:val="0"/>
        <w:spacing w:after="200"/>
        <w:ind w:left="357" w:hanging="357"/>
        <w:contextualSpacing/>
        <w:rPr>
          <w:rFonts w:ascii="Arial" w:hAnsi="Arial" w:cs="Arial"/>
          <w:color w:val="000000"/>
          <w:sz w:val="20"/>
          <w:szCs w:val="20"/>
        </w:rPr>
      </w:pPr>
      <w:r w:rsidRPr="005847C7">
        <w:rPr>
          <w:rFonts w:ascii="Arial" w:hAnsi="Arial" w:cs="Arial"/>
          <w:color w:val="000000"/>
          <w:sz w:val="20"/>
          <w:szCs w:val="20"/>
        </w:rPr>
        <w:t xml:space="preserve">assess the likelihood and possible consequences of the risks, and </w:t>
      </w:r>
    </w:p>
    <w:p w:rsidR="006B10DC" w:rsidRPr="005847C7" w:rsidRDefault="006B10DC" w:rsidP="006B10DC">
      <w:pPr>
        <w:pStyle w:val="ListParagraph"/>
        <w:widowControl/>
        <w:numPr>
          <w:ilvl w:val="1"/>
          <w:numId w:val="14"/>
        </w:numPr>
        <w:autoSpaceDE w:val="0"/>
        <w:autoSpaceDN w:val="0"/>
        <w:adjustRightInd w:val="0"/>
        <w:spacing w:after="200"/>
        <w:ind w:left="357" w:hanging="357"/>
        <w:contextualSpacing/>
        <w:rPr>
          <w:rFonts w:ascii="Arial" w:hAnsi="Arial" w:cs="Arial"/>
          <w:color w:val="000000"/>
          <w:sz w:val="20"/>
          <w:szCs w:val="20"/>
        </w:rPr>
      </w:pPr>
      <w:r w:rsidRPr="005847C7">
        <w:rPr>
          <w:rFonts w:ascii="Arial" w:hAnsi="Arial" w:cs="Arial"/>
          <w:color w:val="000000"/>
          <w:sz w:val="20"/>
          <w:szCs w:val="20"/>
        </w:rPr>
        <w:t xml:space="preserve">respond in ways that are proportionate and manage risks so we can adequately protect the public. </w:t>
      </w:r>
    </w:p>
    <w:p w:rsidR="006B10DC" w:rsidRPr="005847C7" w:rsidRDefault="006B10DC" w:rsidP="006B10DC">
      <w:pPr>
        <w:autoSpaceDE w:val="0"/>
        <w:autoSpaceDN w:val="0"/>
        <w:adjustRightInd w:val="0"/>
        <w:rPr>
          <w:rFonts w:ascii="Arial" w:hAnsi="Arial" w:cs="Arial"/>
          <w:color w:val="000000"/>
          <w:sz w:val="20"/>
          <w:szCs w:val="20"/>
        </w:rPr>
      </w:pPr>
      <w:r w:rsidRPr="005847C7">
        <w:rPr>
          <w:rFonts w:ascii="Arial" w:hAnsi="Arial" w:cs="Arial"/>
          <w:color w:val="000000"/>
          <w:sz w:val="20"/>
          <w:szCs w:val="20"/>
        </w:rPr>
        <w:t>In recognising our different and complementary functions, the National Board and AHPRA have agreed on an accountability framework for the National Scheme (</w:t>
      </w:r>
      <w:r w:rsidRPr="005847C7">
        <w:rPr>
          <w:rFonts w:ascii="Arial" w:hAnsi="Arial" w:cs="Arial"/>
          <w:b/>
          <w:bCs/>
          <w:color w:val="000000"/>
          <w:sz w:val="20"/>
          <w:szCs w:val="20"/>
        </w:rPr>
        <w:t>the Accountability Framework</w:t>
      </w:r>
      <w:r w:rsidRPr="005847C7">
        <w:rPr>
          <w:rFonts w:ascii="Arial" w:hAnsi="Arial" w:cs="Arial"/>
          <w:color w:val="000000"/>
          <w:sz w:val="20"/>
          <w:szCs w:val="20"/>
        </w:rPr>
        <w:t xml:space="preserve">). </w:t>
      </w:r>
    </w:p>
    <w:p w:rsidR="006B10DC" w:rsidRDefault="006B10DC" w:rsidP="006B10DC">
      <w:pPr>
        <w:autoSpaceDE w:val="0"/>
        <w:autoSpaceDN w:val="0"/>
        <w:adjustRightInd w:val="0"/>
        <w:rPr>
          <w:rFonts w:ascii="Arial" w:hAnsi="Arial" w:cs="Arial"/>
          <w:color w:val="000000"/>
          <w:sz w:val="20"/>
          <w:szCs w:val="20"/>
        </w:rPr>
      </w:pPr>
      <w:r w:rsidRPr="005847C7">
        <w:rPr>
          <w:rFonts w:ascii="Arial" w:hAnsi="Arial"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5847C7" w:rsidRPr="005847C7" w:rsidRDefault="005847C7" w:rsidP="006B10DC">
      <w:pPr>
        <w:autoSpaceDE w:val="0"/>
        <w:autoSpaceDN w:val="0"/>
        <w:adjustRightInd w:val="0"/>
        <w:rPr>
          <w:rFonts w:ascii="Arial" w:hAnsi="Arial" w:cs="Arial"/>
          <w:color w:val="000000"/>
          <w:sz w:val="20"/>
          <w:szCs w:val="20"/>
        </w:rPr>
      </w:pPr>
    </w:p>
    <w:p w:rsidR="006B10DC" w:rsidRPr="005847C7" w:rsidRDefault="006B10DC" w:rsidP="006B10DC">
      <w:pPr>
        <w:autoSpaceDE w:val="0"/>
        <w:autoSpaceDN w:val="0"/>
        <w:adjustRightInd w:val="0"/>
        <w:rPr>
          <w:rFonts w:ascii="Arial" w:hAnsi="Arial" w:cs="Arial"/>
          <w:color w:val="000000"/>
          <w:sz w:val="20"/>
          <w:szCs w:val="20"/>
        </w:rPr>
      </w:pPr>
      <w:r w:rsidRPr="005847C7">
        <w:rPr>
          <w:rFonts w:ascii="Arial" w:hAnsi="Arial"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6B10DC" w:rsidRDefault="006B10DC" w:rsidP="006B10DC">
      <w:pPr>
        <w:rPr>
          <w:b/>
          <w:color w:val="007DC3"/>
          <w:sz w:val="20"/>
        </w:rPr>
      </w:pPr>
      <w:r>
        <w:br w:type="page"/>
      </w:r>
    </w:p>
    <w:p w:rsidR="006B10DC" w:rsidRPr="00E842D6" w:rsidRDefault="006B10DC" w:rsidP="006B10DC">
      <w:pPr>
        <w:pStyle w:val="AHPRASubheading"/>
      </w:pPr>
      <w:r w:rsidRPr="00E842D6">
        <w:lastRenderedPageBreak/>
        <w:t xml:space="preserve">2. Integrity through interdependence </w:t>
      </w:r>
    </w:p>
    <w:p w:rsidR="006B10DC" w:rsidRPr="00010343" w:rsidRDefault="006B10DC" w:rsidP="006B10DC">
      <w:pPr>
        <w:pStyle w:val="AHPRASubheadinglevel2"/>
        <w:rPr>
          <w:color w:val="auto"/>
        </w:rPr>
      </w:pPr>
      <w:r w:rsidRPr="00010343">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6B10DC" w:rsidRDefault="006B10DC" w:rsidP="006B10DC">
      <w:pPr>
        <w:autoSpaceDE w:val="0"/>
        <w:autoSpaceDN w:val="0"/>
        <w:adjustRightInd w:val="0"/>
        <w:rPr>
          <w:rFonts w:ascii="Arial" w:hAnsi="Arial" w:cs="Arial"/>
          <w:color w:val="000000"/>
          <w:sz w:val="20"/>
          <w:szCs w:val="20"/>
        </w:rPr>
      </w:pPr>
      <w:r w:rsidRPr="005847C7">
        <w:rPr>
          <w:rFonts w:ascii="Arial" w:hAnsi="Arial"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5847C7" w:rsidRPr="005847C7" w:rsidRDefault="005847C7" w:rsidP="006B10DC">
      <w:pPr>
        <w:autoSpaceDE w:val="0"/>
        <w:autoSpaceDN w:val="0"/>
        <w:adjustRightInd w:val="0"/>
        <w:rPr>
          <w:rFonts w:ascii="Arial" w:hAnsi="Arial" w:cs="Arial"/>
          <w:color w:val="000000"/>
          <w:sz w:val="20"/>
          <w:szCs w:val="20"/>
        </w:rPr>
      </w:pPr>
    </w:p>
    <w:p w:rsidR="006B10DC" w:rsidRDefault="006B10DC" w:rsidP="006B10DC">
      <w:pPr>
        <w:autoSpaceDE w:val="0"/>
        <w:autoSpaceDN w:val="0"/>
        <w:adjustRightInd w:val="0"/>
        <w:rPr>
          <w:rFonts w:ascii="Arial" w:hAnsi="Arial" w:cs="Arial"/>
          <w:color w:val="000000"/>
          <w:sz w:val="20"/>
          <w:szCs w:val="20"/>
        </w:rPr>
      </w:pPr>
      <w:r w:rsidRPr="005847C7">
        <w:rPr>
          <w:rFonts w:ascii="Arial" w:hAnsi="Arial" w:cs="Arial"/>
          <w:color w:val="000000"/>
          <w:sz w:val="20"/>
          <w:szCs w:val="20"/>
        </w:rPr>
        <w:t xml:space="preserve">For example, AHPRA acknowledges its obligation to consult the National Board when developing procedures for the operation of the National </w:t>
      </w:r>
      <w:r w:rsidR="005847C7" w:rsidRPr="005847C7">
        <w:rPr>
          <w:rFonts w:ascii="Arial" w:hAnsi="Arial" w:cs="Arial"/>
          <w:color w:val="000000"/>
          <w:sz w:val="20"/>
          <w:szCs w:val="20"/>
        </w:rPr>
        <w:t>Board and</w:t>
      </w:r>
      <w:r w:rsidRPr="005847C7">
        <w:rPr>
          <w:rFonts w:ascii="Arial" w:hAnsi="Arial" w:cs="Arial"/>
          <w:color w:val="000000"/>
          <w:sz w:val="20"/>
          <w:szCs w:val="20"/>
        </w:rPr>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rsidR="005847C7" w:rsidRPr="005847C7" w:rsidRDefault="005847C7" w:rsidP="006B10DC">
      <w:pPr>
        <w:autoSpaceDE w:val="0"/>
        <w:autoSpaceDN w:val="0"/>
        <w:adjustRightInd w:val="0"/>
        <w:rPr>
          <w:rFonts w:ascii="Arial" w:hAnsi="Arial" w:cs="Arial"/>
          <w:color w:val="000000"/>
          <w:sz w:val="20"/>
          <w:szCs w:val="20"/>
        </w:rPr>
      </w:pPr>
    </w:p>
    <w:p w:rsidR="006B10DC" w:rsidRPr="005847C7" w:rsidRDefault="006B10DC" w:rsidP="006B10DC">
      <w:pPr>
        <w:autoSpaceDE w:val="0"/>
        <w:autoSpaceDN w:val="0"/>
        <w:adjustRightInd w:val="0"/>
        <w:rPr>
          <w:rFonts w:ascii="Arial" w:hAnsi="Arial" w:cs="Arial"/>
          <w:color w:val="000000"/>
          <w:sz w:val="20"/>
          <w:szCs w:val="20"/>
        </w:rPr>
      </w:pPr>
      <w:r w:rsidRPr="005847C7">
        <w:rPr>
          <w:rFonts w:ascii="Arial" w:hAnsi="Arial"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6B10DC" w:rsidRPr="00E842D6" w:rsidRDefault="006B10DC" w:rsidP="006B10DC">
      <w:pPr>
        <w:pStyle w:val="AHPRASubheading"/>
      </w:pPr>
      <w:r w:rsidRPr="00E842D6">
        <w:t xml:space="preserve">3. Transparency and mutual accountability </w:t>
      </w:r>
    </w:p>
    <w:p w:rsidR="006B10DC" w:rsidRPr="00010343" w:rsidRDefault="006B10DC" w:rsidP="006B10DC">
      <w:pPr>
        <w:pStyle w:val="AHPRASubheadinglevel2"/>
        <w:rPr>
          <w:color w:val="auto"/>
        </w:rPr>
      </w:pPr>
      <w:r w:rsidRPr="00010343">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6B10DC" w:rsidRDefault="006B10DC" w:rsidP="006B10DC">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6B10DC" w:rsidRDefault="006B10DC" w:rsidP="006B10DC">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6B10DC" w:rsidRDefault="006B10DC" w:rsidP="006B10DC">
      <w:pPr>
        <w:pStyle w:val="Default"/>
        <w:spacing w:after="200"/>
        <w:rPr>
          <w:sz w:val="20"/>
          <w:szCs w:val="20"/>
        </w:rPr>
      </w:pPr>
      <w:r>
        <w:rPr>
          <w:sz w:val="20"/>
          <w:szCs w:val="20"/>
        </w:rPr>
        <w:t xml:space="preserve">In addition, the Agreement supports the National Board to fulfil its specific oversight functions in respect of: </w:t>
      </w:r>
    </w:p>
    <w:p w:rsidR="006B10DC" w:rsidRDefault="006B10DC" w:rsidP="006B10DC">
      <w:pPr>
        <w:pStyle w:val="Default"/>
        <w:numPr>
          <w:ilvl w:val="1"/>
          <w:numId w:val="15"/>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6B10DC" w:rsidRDefault="006B10DC" w:rsidP="006B10DC">
      <w:pPr>
        <w:pStyle w:val="Default"/>
        <w:numPr>
          <w:ilvl w:val="1"/>
          <w:numId w:val="15"/>
        </w:numPr>
        <w:spacing w:after="200"/>
        <w:ind w:left="357" w:hanging="357"/>
        <w:contextualSpacing/>
        <w:rPr>
          <w:sz w:val="20"/>
          <w:szCs w:val="20"/>
        </w:rPr>
      </w:pPr>
      <w:r>
        <w:rPr>
          <w:sz w:val="20"/>
          <w:szCs w:val="20"/>
        </w:rPr>
        <w:t xml:space="preserve">the assessment and investigation of matters about persons who— </w:t>
      </w:r>
    </w:p>
    <w:p w:rsidR="006B10DC" w:rsidRDefault="006B10DC" w:rsidP="006B10DC">
      <w:pPr>
        <w:pStyle w:val="Default"/>
        <w:numPr>
          <w:ilvl w:val="2"/>
          <w:numId w:val="15"/>
        </w:numPr>
        <w:spacing w:after="200"/>
        <w:ind w:left="714" w:hanging="357"/>
        <w:contextualSpacing/>
        <w:rPr>
          <w:sz w:val="20"/>
          <w:szCs w:val="20"/>
        </w:rPr>
      </w:pPr>
      <w:r>
        <w:rPr>
          <w:sz w:val="20"/>
          <w:szCs w:val="20"/>
        </w:rPr>
        <w:t xml:space="preserve">are or were registered health practitioners, or </w:t>
      </w:r>
    </w:p>
    <w:p w:rsidR="006B10DC" w:rsidRDefault="006B10DC" w:rsidP="006B10DC">
      <w:pPr>
        <w:pStyle w:val="Default"/>
        <w:numPr>
          <w:ilvl w:val="2"/>
          <w:numId w:val="15"/>
        </w:numPr>
        <w:spacing w:after="200"/>
        <w:ind w:left="714" w:hanging="357"/>
        <w:contextualSpacing/>
        <w:rPr>
          <w:sz w:val="20"/>
          <w:szCs w:val="20"/>
        </w:rPr>
      </w:pPr>
      <w:r>
        <w:rPr>
          <w:sz w:val="20"/>
          <w:szCs w:val="20"/>
        </w:rPr>
        <w:t xml:space="preserve">are students in the health profession, </w:t>
      </w:r>
    </w:p>
    <w:p w:rsidR="006B10DC" w:rsidRDefault="006B10DC" w:rsidP="006B10DC">
      <w:pPr>
        <w:pStyle w:val="Default"/>
        <w:numPr>
          <w:ilvl w:val="1"/>
          <w:numId w:val="16"/>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6B10DC" w:rsidRDefault="006B10DC" w:rsidP="006B10DC">
      <w:pPr>
        <w:pStyle w:val="Default"/>
        <w:spacing w:before="120" w:after="200"/>
        <w:rPr>
          <w:sz w:val="20"/>
          <w:szCs w:val="20"/>
        </w:rPr>
      </w:pPr>
      <w:r>
        <w:rPr>
          <w:sz w:val="20"/>
          <w:szCs w:val="20"/>
        </w:rP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6B10DC" w:rsidRPr="00E842D6" w:rsidRDefault="006B10DC" w:rsidP="006B10DC">
      <w:pPr>
        <w:pStyle w:val="AHPRASubheading"/>
      </w:pPr>
      <w:r w:rsidRPr="00E842D6">
        <w:t xml:space="preserve">4. Commitment to joint learning </w:t>
      </w:r>
    </w:p>
    <w:p w:rsidR="006B10DC" w:rsidRPr="00010343" w:rsidRDefault="006B10DC" w:rsidP="006B10DC">
      <w:pPr>
        <w:pStyle w:val="AHPRASubheadinglevel2"/>
        <w:rPr>
          <w:color w:val="auto"/>
        </w:rPr>
      </w:pPr>
      <w:r w:rsidRPr="00010343">
        <w:rPr>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6B10DC" w:rsidRDefault="006B10DC" w:rsidP="006B10DC">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6B10DC" w:rsidRDefault="006B10DC" w:rsidP="006B10DC">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6B10DC" w:rsidRPr="00F960D5" w:rsidRDefault="006B10DC" w:rsidP="006B10DC">
      <w:pPr>
        <w:pStyle w:val="AHPRASubheading"/>
      </w:pPr>
      <w:r w:rsidRPr="00F960D5">
        <w:t xml:space="preserve">Dispute resolution </w:t>
      </w:r>
    </w:p>
    <w:p w:rsidR="006B10DC" w:rsidRDefault="006B10DC" w:rsidP="006B10DC">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6B10DC" w:rsidRDefault="006B10DC" w:rsidP="006B10DC">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6B10DC" w:rsidRDefault="006B10DC" w:rsidP="006B10DC">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6B10DC" w:rsidRDefault="006B10DC" w:rsidP="006B10DC">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6B10DC" w:rsidRDefault="006B10DC" w:rsidP="006B10DC">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6B10DC" w:rsidRPr="005847C7" w:rsidRDefault="006B10DC" w:rsidP="006B10DC">
      <w:pPr>
        <w:pStyle w:val="AHPRASubheading"/>
        <w:rPr>
          <w:rFonts w:cs="Arial"/>
        </w:rPr>
      </w:pPr>
      <w:r w:rsidRPr="005847C7">
        <w:rPr>
          <w:rFonts w:cs="Arial"/>
        </w:rPr>
        <w:t xml:space="preserve">Review </w:t>
      </w:r>
    </w:p>
    <w:p w:rsidR="006B10DC" w:rsidRPr="005847C7" w:rsidRDefault="006B10DC" w:rsidP="006B10DC">
      <w:pPr>
        <w:outlineLvl w:val="0"/>
        <w:rPr>
          <w:rFonts w:ascii="Arial" w:hAnsi="Arial" w:cs="Arial"/>
          <w:sz w:val="20"/>
          <w:szCs w:val="20"/>
        </w:rPr>
      </w:pPr>
      <w:r w:rsidRPr="005847C7">
        <w:rPr>
          <w:rFonts w:ascii="Arial" w:hAnsi="Arial" w:cs="Arial"/>
          <w:sz w:val="20"/>
          <w:szCs w:val="20"/>
        </w:rPr>
        <w:t>The National Board and AHPRA agree to review this HPA on an annual basis.</w:t>
      </w:r>
    </w:p>
    <w:p w:rsidR="006B10DC" w:rsidRDefault="006B10DC" w:rsidP="006B10DC">
      <w:pPr>
        <w:pStyle w:val="Default"/>
        <w:rPr>
          <w:color w:val="auto"/>
        </w:rPr>
        <w:sectPr w:rsidR="006B10DC" w:rsidSect="006B10DC">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6B10DC" w:rsidTr="00941A45">
        <w:trPr>
          <w:trHeight w:val="246"/>
        </w:trPr>
        <w:tc>
          <w:tcPr>
            <w:tcW w:w="1440" w:type="dxa"/>
          </w:tcPr>
          <w:p w:rsidR="006B10DC" w:rsidRDefault="006B10DC" w:rsidP="00941A45">
            <w:pPr>
              <w:pStyle w:val="AHPRASubheading"/>
              <w:spacing w:before="0"/>
            </w:pPr>
            <w:r>
              <w:lastRenderedPageBreak/>
              <w:t>Schedules</w:t>
            </w:r>
          </w:p>
        </w:tc>
        <w:tc>
          <w:tcPr>
            <w:tcW w:w="6836" w:type="dxa"/>
          </w:tcPr>
          <w:p w:rsidR="006B10DC" w:rsidRDefault="006B10DC" w:rsidP="00941A45">
            <w:pPr>
              <w:pStyle w:val="AHPRASubheading"/>
              <w:spacing w:before="0"/>
            </w:pPr>
          </w:p>
        </w:tc>
      </w:tr>
      <w:tr w:rsidR="006B10DC" w:rsidTr="00941A45">
        <w:trPr>
          <w:trHeight w:val="246"/>
        </w:trPr>
        <w:tc>
          <w:tcPr>
            <w:tcW w:w="1440" w:type="dxa"/>
          </w:tcPr>
          <w:p w:rsidR="006B10DC" w:rsidRDefault="006B10DC" w:rsidP="00941A45">
            <w:pPr>
              <w:pStyle w:val="Default"/>
              <w:spacing w:after="200"/>
              <w:rPr>
                <w:sz w:val="20"/>
                <w:szCs w:val="20"/>
              </w:rPr>
            </w:pPr>
            <w:r>
              <w:rPr>
                <w:sz w:val="20"/>
                <w:szCs w:val="20"/>
              </w:rPr>
              <w:t xml:space="preserve">Schedule 1: </w:t>
            </w:r>
          </w:p>
        </w:tc>
        <w:tc>
          <w:tcPr>
            <w:tcW w:w="6836" w:type="dxa"/>
          </w:tcPr>
          <w:p w:rsidR="006B10DC" w:rsidRDefault="006B10DC" w:rsidP="00941A45">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6B10DC" w:rsidTr="00941A45">
        <w:trPr>
          <w:trHeight w:val="132"/>
        </w:trPr>
        <w:tc>
          <w:tcPr>
            <w:tcW w:w="1440" w:type="dxa"/>
          </w:tcPr>
          <w:p w:rsidR="006B10DC" w:rsidRDefault="006B10DC" w:rsidP="00941A45">
            <w:pPr>
              <w:pStyle w:val="Default"/>
              <w:spacing w:after="200"/>
              <w:rPr>
                <w:sz w:val="20"/>
                <w:szCs w:val="20"/>
              </w:rPr>
            </w:pPr>
            <w:r>
              <w:rPr>
                <w:sz w:val="20"/>
                <w:szCs w:val="20"/>
              </w:rPr>
              <w:t xml:space="preserve">Schedule 2: </w:t>
            </w:r>
          </w:p>
        </w:tc>
        <w:tc>
          <w:tcPr>
            <w:tcW w:w="6836" w:type="dxa"/>
          </w:tcPr>
          <w:p w:rsidR="006B10DC" w:rsidRDefault="006B10DC" w:rsidP="00941A45">
            <w:pPr>
              <w:pStyle w:val="Default"/>
              <w:spacing w:after="200"/>
              <w:rPr>
                <w:sz w:val="20"/>
                <w:szCs w:val="20"/>
              </w:rPr>
            </w:pPr>
            <w:r>
              <w:rPr>
                <w:sz w:val="20"/>
                <w:szCs w:val="20"/>
              </w:rPr>
              <w:t xml:space="preserve">Summary of National Scheme Strategy, </w:t>
            </w:r>
            <w:r w:rsidRPr="009F7163">
              <w:rPr>
                <w:sz w:val="20"/>
                <w:szCs w:val="20"/>
              </w:rPr>
              <w:t>implementation map</w:t>
            </w:r>
            <w:r>
              <w:rPr>
                <w:sz w:val="20"/>
                <w:szCs w:val="20"/>
              </w:rPr>
              <w:t>, and National Board’s regulatory plan</w:t>
            </w:r>
          </w:p>
        </w:tc>
      </w:tr>
      <w:tr w:rsidR="006B10DC" w:rsidTr="00941A45">
        <w:trPr>
          <w:trHeight w:val="132"/>
        </w:trPr>
        <w:tc>
          <w:tcPr>
            <w:tcW w:w="1440" w:type="dxa"/>
          </w:tcPr>
          <w:p w:rsidR="006B10DC" w:rsidRDefault="006B10DC" w:rsidP="00941A45">
            <w:pPr>
              <w:pStyle w:val="Default"/>
              <w:spacing w:after="200"/>
              <w:rPr>
                <w:sz w:val="20"/>
                <w:szCs w:val="20"/>
              </w:rPr>
            </w:pPr>
            <w:r>
              <w:rPr>
                <w:sz w:val="20"/>
                <w:szCs w:val="20"/>
              </w:rPr>
              <w:t xml:space="preserve">Schedule 3: </w:t>
            </w:r>
          </w:p>
        </w:tc>
        <w:tc>
          <w:tcPr>
            <w:tcW w:w="6836" w:type="dxa"/>
          </w:tcPr>
          <w:p w:rsidR="006B10DC" w:rsidRDefault="006B10DC" w:rsidP="00941A45">
            <w:pPr>
              <w:pStyle w:val="Default"/>
              <w:spacing w:after="200"/>
              <w:rPr>
                <w:sz w:val="20"/>
                <w:szCs w:val="20"/>
              </w:rPr>
            </w:pPr>
            <w:r>
              <w:rPr>
                <w:sz w:val="20"/>
                <w:szCs w:val="20"/>
              </w:rPr>
              <w:t xml:space="preserve">Fees payable by health practitioners </w:t>
            </w:r>
          </w:p>
        </w:tc>
      </w:tr>
      <w:tr w:rsidR="006B10DC" w:rsidTr="00941A45">
        <w:trPr>
          <w:trHeight w:val="132"/>
        </w:trPr>
        <w:tc>
          <w:tcPr>
            <w:tcW w:w="1440" w:type="dxa"/>
          </w:tcPr>
          <w:p w:rsidR="006B10DC" w:rsidRDefault="006B10DC" w:rsidP="00941A45">
            <w:pPr>
              <w:pStyle w:val="Default"/>
              <w:spacing w:after="200"/>
              <w:rPr>
                <w:sz w:val="20"/>
                <w:szCs w:val="20"/>
              </w:rPr>
            </w:pPr>
            <w:r>
              <w:rPr>
                <w:sz w:val="20"/>
                <w:szCs w:val="20"/>
              </w:rPr>
              <w:t xml:space="preserve">Schedule 4: </w:t>
            </w:r>
          </w:p>
        </w:tc>
        <w:tc>
          <w:tcPr>
            <w:tcW w:w="6836" w:type="dxa"/>
          </w:tcPr>
          <w:p w:rsidR="006B10DC" w:rsidRDefault="006B10DC" w:rsidP="00941A45">
            <w:pPr>
              <w:pStyle w:val="Default"/>
              <w:spacing w:after="200"/>
              <w:rPr>
                <w:sz w:val="20"/>
                <w:szCs w:val="20"/>
              </w:rPr>
            </w:pPr>
            <w:r>
              <w:rPr>
                <w:sz w:val="20"/>
                <w:szCs w:val="20"/>
              </w:rPr>
              <w:t xml:space="preserve">Summary of National Board’s annual budget </w:t>
            </w:r>
          </w:p>
        </w:tc>
      </w:tr>
      <w:tr w:rsidR="006B10DC" w:rsidTr="00941A45">
        <w:trPr>
          <w:trHeight w:val="132"/>
        </w:trPr>
        <w:tc>
          <w:tcPr>
            <w:tcW w:w="1440" w:type="dxa"/>
          </w:tcPr>
          <w:p w:rsidR="006B10DC" w:rsidRDefault="006B10DC" w:rsidP="00941A45">
            <w:pPr>
              <w:pStyle w:val="Default"/>
              <w:spacing w:after="200"/>
              <w:rPr>
                <w:sz w:val="20"/>
                <w:szCs w:val="20"/>
              </w:rPr>
            </w:pPr>
            <w:r>
              <w:rPr>
                <w:sz w:val="20"/>
                <w:szCs w:val="20"/>
              </w:rPr>
              <w:t xml:space="preserve">Schedule 5: </w:t>
            </w:r>
          </w:p>
        </w:tc>
        <w:tc>
          <w:tcPr>
            <w:tcW w:w="6836" w:type="dxa"/>
          </w:tcPr>
          <w:p w:rsidR="006B10DC" w:rsidRPr="00627F08" w:rsidRDefault="006B10DC" w:rsidP="00941A45">
            <w:pPr>
              <w:pStyle w:val="Default"/>
              <w:spacing w:after="200"/>
              <w:rPr>
                <w:sz w:val="20"/>
                <w:szCs w:val="20"/>
              </w:rPr>
            </w:pPr>
            <w:r>
              <w:rPr>
                <w:sz w:val="20"/>
                <w:szCs w:val="20"/>
              </w:rPr>
              <w:t>P</w:t>
            </w:r>
            <w:r w:rsidRPr="00627F08">
              <w:rPr>
                <w:sz w:val="20"/>
                <w:szCs w:val="20"/>
              </w:rPr>
              <w:t>erformance management framework</w:t>
            </w:r>
          </w:p>
        </w:tc>
      </w:tr>
    </w:tbl>
    <w:p w:rsidR="006B10DC" w:rsidRDefault="006B10DC" w:rsidP="006B10DC">
      <w:r>
        <w:br w:type="page"/>
      </w:r>
    </w:p>
    <w:p w:rsidR="006B10DC" w:rsidRPr="005847C7" w:rsidRDefault="006B10DC" w:rsidP="006B10DC">
      <w:pPr>
        <w:tabs>
          <w:tab w:val="left" w:pos="5678"/>
        </w:tabs>
        <w:spacing w:after="1200"/>
        <w:jc w:val="center"/>
        <w:rPr>
          <w:rFonts w:ascii="Arial" w:hAnsi="Arial" w:cs="Arial"/>
          <w:b/>
          <w:sz w:val="20"/>
        </w:rPr>
      </w:pPr>
      <w:r w:rsidRPr="005847C7">
        <w:rPr>
          <w:rFonts w:ascii="Arial" w:hAnsi="Arial" w:cs="Arial"/>
          <w:b/>
          <w:sz w:val="20"/>
        </w:rPr>
        <w:lastRenderedPageBreak/>
        <w:t>This Agreement is made between</w:t>
      </w:r>
    </w:p>
    <w:p w:rsidR="006B10DC" w:rsidRPr="005847C7" w:rsidRDefault="006B10DC" w:rsidP="006B10DC">
      <w:pPr>
        <w:tabs>
          <w:tab w:val="left" w:pos="5678"/>
        </w:tabs>
        <w:spacing w:after="400"/>
        <w:jc w:val="center"/>
        <w:rPr>
          <w:rFonts w:ascii="Arial" w:hAnsi="Arial" w:cs="Arial"/>
          <w:b/>
          <w:sz w:val="20"/>
        </w:rPr>
      </w:pPr>
      <w:r w:rsidRPr="005847C7">
        <w:rPr>
          <w:rFonts w:ascii="Arial" w:hAnsi="Arial" w:cs="Arial"/>
          <w:b/>
          <w:noProof/>
          <w:sz w:val="20"/>
        </w:rPr>
        <w:t>Osteopathy</w:t>
      </w:r>
      <w:r w:rsidRPr="005847C7">
        <w:rPr>
          <w:rFonts w:ascii="Arial" w:hAnsi="Arial" w:cs="Arial"/>
          <w:b/>
          <w:sz w:val="20"/>
        </w:rPr>
        <w:t xml:space="preserve"> Board of Australia</w:t>
      </w:r>
    </w:p>
    <w:p w:rsidR="006B10DC" w:rsidRPr="005847C7" w:rsidRDefault="006B10DC" w:rsidP="006B10DC">
      <w:pPr>
        <w:tabs>
          <w:tab w:val="left" w:pos="5678"/>
        </w:tabs>
        <w:spacing w:after="400"/>
        <w:jc w:val="center"/>
        <w:rPr>
          <w:rFonts w:ascii="Arial" w:hAnsi="Arial" w:cs="Arial"/>
          <w:sz w:val="20"/>
        </w:rPr>
      </w:pPr>
      <w:r w:rsidRPr="005847C7">
        <w:rPr>
          <w:rFonts w:ascii="Arial" w:hAnsi="Arial" w:cs="Arial"/>
          <w:sz w:val="20"/>
        </w:rPr>
        <w:t>and</w:t>
      </w:r>
    </w:p>
    <w:p w:rsidR="006B10DC" w:rsidRPr="005847C7" w:rsidRDefault="006B10DC" w:rsidP="006B10DC">
      <w:pPr>
        <w:tabs>
          <w:tab w:val="left" w:pos="5678"/>
        </w:tabs>
        <w:spacing w:after="2000"/>
        <w:jc w:val="center"/>
        <w:rPr>
          <w:rFonts w:ascii="Arial" w:hAnsi="Arial" w:cs="Arial"/>
          <w:b/>
          <w:sz w:val="20"/>
        </w:rPr>
      </w:pPr>
      <w:r w:rsidRPr="005847C7">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6B10DC" w:rsidTr="00941A45">
        <w:trPr>
          <w:trHeight w:val="1701"/>
        </w:trPr>
        <w:tc>
          <w:tcPr>
            <w:tcW w:w="4618" w:type="dxa"/>
            <w:tcBorders>
              <w:bottom w:val="nil"/>
            </w:tcBorders>
          </w:tcPr>
          <w:p w:rsidR="006B10DC" w:rsidRDefault="006B10DC" w:rsidP="00941A45">
            <w:pPr>
              <w:tabs>
                <w:tab w:val="left" w:pos="5678"/>
              </w:tabs>
            </w:pPr>
            <w:r>
              <w:t>Signed for and on behalf of AHPRA by:</w:t>
            </w:r>
          </w:p>
          <w:p w:rsidR="00010343" w:rsidRDefault="00010343" w:rsidP="00941A45">
            <w:pPr>
              <w:tabs>
                <w:tab w:val="left" w:pos="5678"/>
              </w:tabs>
            </w:pPr>
          </w:p>
          <w:p w:rsidR="00010343" w:rsidRDefault="00010343" w:rsidP="00941A45">
            <w:pPr>
              <w:tabs>
                <w:tab w:val="left" w:pos="5678"/>
              </w:tabs>
            </w:pPr>
          </w:p>
          <w:p w:rsidR="00010343" w:rsidRDefault="00010343" w:rsidP="00941A45">
            <w:pPr>
              <w:tabs>
                <w:tab w:val="left" w:pos="5678"/>
              </w:tabs>
            </w:pPr>
            <w:r>
              <w:rPr>
                <w:noProof/>
                <w:lang w:val="en-AU" w:eastAsia="en-AU"/>
              </w:rPr>
              <w:drawing>
                <wp:inline distT="0" distB="0" distL="0" distR="0">
                  <wp:extent cx="2027555" cy="50101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27555" cy="501015"/>
                          </a:xfrm>
                          <a:prstGeom prst="rect">
                            <a:avLst/>
                          </a:prstGeom>
                          <a:noFill/>
                          <a:ln w="9525">
                            <a:noFill/>
                            <a:miter lim="800000"/>
                            <a:headEnd/>
                            <a:tailEnd/>
                          </a:ln>
                        </pic:spPr>
                      </pic:pic>
                    </a:graphicData>
                  </a:graphic>
                </wp:inline>
              </w:drawing>
            </w:r>
          </w:p>
        </w:tc>
        <w:tc>
          <w:tcPr>
            <w:tcW w:w="4618" w:type="dxa"/>
            <w:tcBorders>
              <w:bottom w:val="nil"/>
            </w:tcBorders>
          </w:tcPr>
          <w:p w:rsidR="006B10DC" w:rsidRDefault="006B10DC" w:rsidP="00941A45">
            <w:pPr>
              <w:tabs>
                <w:tab w:val="left" w:pos="5678"/>
              </w:tabs>
            </w:pPr>
            <w:r>
              <w:t xml:space="preserve">Signed for and on behalf of the </w:t>
            </w:r>
            <w:r w:rsidRPr="008E35BA">
              <w:rPr>
                <w:noProof/>
              </w:rPr>
              <w:t>Osteopathy</w:t>
            </w:r>
            <w:r>
              <w:t xml:space="preserve"> Board of Australia by:</w:t>
            </w:r>
          </w:p>
          <w:p w:rsidR="00010343" w:rsidRDefault="00010343" w:rsidP="00941A45">
            <w:pPr>
              <w:tabs>
                <w:tab w:val="left" w:pos="5678"/>
              </w:tabs>
            </w:pPr>
          </w:p>
          <w:p w:rsidR="00010343" w:rsidRDefault="00010343" w:rsidP="00941A45">
            <w:pPr>
              <w:tabs>
                <w:tab w:val="left" w:pos="5678"/>
              </w:tabs>
            </w:pPr>
          </w:p>
          <w:p w:rsidR="00010343" w:rsidRDefault="00010343" w:rsidP="00941A45">
            <w:pPr>
              <w:tabs>
                <w:tab w:val="left" w:pos="5678"/>
              </w:tabs>
            </w:pPr>
            <w:r>
              <w:rPr>
                <w:noProof/>
                <w:lang w:val="en-AU" w:eastAsia="en-AU"/>
              </w:rPr>
              <w:drawing>
                <wp:inline distT="0" distB="0" distL="0" distR="0">
                  <wp:extent cx="977900" cy="63627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977900" cy="636270"/>
                          </a:xfrm>
                          <a:prstGeom prst="rect">
                            <a:avLst/>
                          </a:prstGeom>
                          <a:noFill/>
                          <a:ln w="9525">
                            <a:noFill/>
                            <a:miter lim="800000"/>
                            <a:headEnd/>
                            <a:tailEnd/>
                          </a:ln>
                        </pic:spPr>
                      </pic:pic>
                    </a:graphicData>
                  </a:graphic>
                </wp:inline>
              </w:drawing>
            </w:r>
          </w:p>
        </w:tc>
      </w:tr>
      <w:tr w:rsidR="006B10DC" w:rsidTr="00941A45">
        <w:tc>
          <w:tcPr>
            <w:tcW w:w="4618" w:type="dxa"/>
            <w:tcBorders>
              <w:top w:val="nil"/>
              <w:bottom w:val="nil"/>
            </w:tcBorders>
          </w:tcPr>
          <w:p w:rsidR="006B10DC" w:rsidRDefault="006B10DC" w:rsidP="00941A45">
            <w:pPr>
              <w:tabs>
                <w:tab w:val="left" w:pos="5678"/>
              </w:tabs>
            </w:pPr>
            <w:r>
              <w:t>Signature of Chief Executive Officer</w:t>
            </w:r>
          </w:p>
        </w:tc>
        <w:tc>
          <w:tcPr>
            <w:tcW w:w="4618" w:type="dxa"/>
            <w:tcBorders>
              <w:top w:val="nil"/>
              <w:bottom w:val="nil"/>
            </w:tcBorders>
          </w:tcPr>
          <w:p w:rsidR="006B10DC" w:rsidRDefault="006B10DC" w:rsidP="00941A45">
            <w:pPr>
              <w:tabs>
                <w:tab w:val="left" w:pos="5678"/>
              </w:tabs>
            </w:pPr>
            <w:r>
              <w:t xml:space="preserve">Signature of the Board </w:t>
            </w:r>
            <w:r w:rsidRPr="008E35BA">
              <w:rPr>
                <w:noProof/>
              </w:rPr>
              <w:t>Chair</w:t>
            </w:r>
          </w:p>
        </w:tc>
      </w:tr>
      <w:tr w:rsidR="006B10DC" w:rsidTr="00941A45">
        <w:trPr>
          <w:trHeight w:val="851"/>
        </w:trPr>
        <w:tc>
          <w:tcPr>
            <w:tcW w:w="4618" w:type="dxa"/>
            <w:tcBorders>
              <w:top w:val="nil"/>
              <w:bottom w:val="nil"/>
            </w:tcBorders>
          </w:tcPr>
          <w:p w:rsidR="006B10DC" w:rsidRDefault="006B10DC" w:rsidP="00941A45">
            <w:pPr>
              <w:tabs>
                <w:tab w:val="left" w:pos="5678"/>
              </w:tabs>
            </w:pPr>
            <w:r>
              <w:t>Mr Martin Fletcher</w:t>
            </w:r>
          </w:p>
        </w:tc>
        <w:tc>
          <w:tcPr>
            <w:tcW w:w="4618" w:type="dxa"/>
            <w:tcBorders>
              <w:top w:val="nil"/>
              <w:bottom w:val="nil"/>
            </w:tcBorders>
          </w:tcPr>
          <w:p w:rsidR="006B10DC" w:rsidRPr="00AE322F" w:rsidRDefault="006B10DC" w:rsidP="00941A45">
            <w:pPr>
              <w:tabs>
                <w:tab w:val="left" w:pos="5678"/>
              </w:tabs>
            </w:pPr>
            <w:r w:rsidRPr="008E35BA">
              <w:rPr>
                <w:bCs/>
                <w:noProof/>
              </w:rPr>
              <w:t>Dr Nikole Grbin</w:t>
            </w:r>
          </w:p>
        </w:tc>
      </w:tr>
      <w:tr w:rsidR="006B10DC" w:rsidTr="00941A45">
        <w:tc>
          <w:tcPr>
            <w:tcW w:w="4618" w:type="dxa"/>
            <w:tcBorders>
              <w:top w:val="nil"/>
            </w:tcBorders>
          </w:tcPr>
          <w:p w:rsidR="006B10DC" w:rsidRDefault="006B10DC" w:rsidP="00010343">
            <w:pPr>
              <w:tabs>
                <w:tab w:val="left" w:pos="826"/>
              </w:tabs>
            </w:pPr>
            <w:r>
              <w:t>Date</w:t>
            </w:r>
            <w:r w:rsidR="00010343">
              <w:tab/>
              <w:t xml:space="preserve"> </w:t>
            </w:r>
            <w:r w:rsidR="00010343">
              <w:rPr>
                <w:noProof/>
                <w:lang w:val="en-AU" w:eastAsia="en-AU"/>
              </w:rPr>
              <w:drawing>
                <wp:inline distT="0" distB="0" distL="0" distR="0">
                  <wp:extent cx="1256030" cy="461010"/>
                  <wp:effectExtent l="1905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256030" cy="461010"/>
                          </a:xfrm>
                          <a:prstGeom prst="rect">
                            <a:avLst/>
                          </a:prstGeom>
                          <a:noFill/>
                          <a:ln w="9525">
                            <a:noFill/>
                            <a:miter lim="800000"/>
                            <a:headEnd/>
                            <a:tailEnd/>
                          </a:ln>
                        </pic:spPr>
                      </pic:pic>
                    </a:graphicData>
                  </a:graphic>
                </wp:inline>
              </w:drawing>
            </w:r>
          </w:p>
        </w:tc>
        <w:tc>
          <w:tcPr>
            <w:tcW w:w="4618" w:type="dxa"/>
            <w:tcBorders>
              <w:top w:val="nil"/>
            </w:tcBorders>
          </w:tcPr>
          <w:p w:rsidR="006B10DC" w:rsidRDefault="006B10DC" w:rsidP="00941A45">
            <w:pPr>
              <w:tabs>
                <w:tab w:val="left" w:pos="5678"/>
              </w:tabs>
            </w:pPr>
            <w:r>
              <w:t>Date</w:t>
            </w:r>
            <w:r w:rsidR="00010343">
              <w:t xml:space="preserve">  26 August 2016</w:t>
            </w:r>
          </w:p>
        </w:tc>
      </w:tr>
    </w:tbl>
    <w:p w:rsidR="006B10DC" w:rsidRDefault="006B10DC" w:rsidP="006B10DC">
      <w:pPr>
        <w:tabs>
          <w:tab w:val="left" w:pos="5678"/>
        </w:tabs>
        <w:rPr>
          <w:sz w:val="20"/>
        </w:rPr>
      </w:pPr>
    </w:p>
    <w:p w:rsidR="006B10DC" w:rsidRDefault="006B10DC">
      <w:pPr>
        <w:pStyle w:val="BodyText"/>
        <w:spacing w:before="53"/>
        <w:ind w:left="220"/>
        <w:rPr>
          <w:color w:val="5F6062"/>
        </w:rPr>
      </w:pPr>
    </w:p>
    <w:p w:rsidR="006B10DC" w:rsidRDefault="006B10DC">
      <w:pPr>
        <w:pStyle w:val="BodyText"/>
        <w:spacing w:before="53"/>
        <w:ind w:left="220"/>
        <w:rPr>
          <w:color w:val="5F6062"/>
        </w:rPr>
      </w:pPr>
    </w:p>
    <w:p w:rsidR="006B10DC" w:rsidRDefault="006B10DC">
      <w:pPr>
        <w:pStyle w:val="BodyText"/>
        <w:spacing w:before="53"/>
        <w:ind w:left="220"/>
        <w:rPr>
          <w:color w:val="5F6062"/>
        </w:rPr>
      </w:pPr>
    </w:p>
    <w:p w:rsidR="006B10DC" w:rsidRDefault="006B10DC">
      <w:pPr>
        <w:pStyle w:val="BodyText"/>
        <w:spacing w:before="53"/>
        <w:ind w:left="220"/>
        <w:rPr>
          <w:color w:val="5F6062"/>
        </w:rPr>
      </w:pPr>
    </w:p>
    <w:p w:rsidR="00805DE8" w:rsidRDefault="00805DE8">
      <w:pPr>
        <w:pStyle w:val="BodyText"/>
        <w:spacing w:before="53"/>
        <w:ind w:left="220"/>
        <w:rPr>
          <w:color w:val="5F6062"/>
        </w:rPr>
      </w:pPr>
    </w:p>
    <w:p w:rsidR="00805DE8" w:rsidRDefault="00805DE8">
      <w:pPr>
        <w:pStyle w:val="BodyText"/>
        <w:spacing w:before="53"/>
        <w:ind w:left="220"/>
        <w:rPr>
          <w:color w:val="5F6062"/>
        </w:rPr>
      </w:pPr>
    </w:p>
    <w:p w:rsidR="00805DE8" w:rsidRDefault="00805DE8">
      <w:pPr>
        <w:pStyle w:val="BodyText"/>
        <w:spacing w:before="53"/>
        <w:ind w:left="220"/>
        <w:rPr>
          <w:color w:val="5F6062"/>
        </w:rPr>
      </w:pPr>
    </w:p>
    <w:p w:rsidR="00805DE8" w:rsidRDefault="00805DE8">
      <w:pPr>
        <w:pStyle w:val="BodyText"/>
        <w:spacing w:before="53"/>
        <w:ind w:left="220"/>
        <w:rPr>
          <w:color w:val="5F6062"/>
        </w:rPr>
      </w:pPr>
    </w:p>
    <w:p w:rsidR="00805DE8" w:rsidRDefault="00805DE8">
      <w:pPr>
        <w:pStyle w:val="BodyText"/>
        <w:spacing w:before="53"/>
        <w:ind w:left="220"/>
        <w:rPr>
          <w:color w:val="5F6062"/>
        </w:rPr>
      </w:pPr>
    </w:p>
    <w:p w:rsidR="00805DE8" w:rsidRDefault="00805DE8">
      <w:pPr>
        <w:pStyle w:val="BodyText"/>
        <w:spacing w:before="53"/>
        <w:ind w:left="220"/>
        <w:rPr>
          <w:color w:val="5F6062"/>
        </w:rPr>
      </w:pPr>
    </w:p>
    <w:p w:rsidR="00805DE8" w:rsidRDefault="00805DE8">
      <w:pPr>
        <w:pStyle w:val="BodyText"/>
        <w:spacing w:before="53"/>
        <w:ind w:left="220"/>
        <w:rPr>
          <w:color w:val="5F6062"/>
        </w:rPr>
      </w:pPr>
    </w:p>
    <w:p w:rsidR="00805DE8" w:rsidRDefault="00805DE8">
      <w:pPr>
        <w:pStyle w:val="BodyText"/>
        <w:spacing w:before="53"/>
        <w:ind w:left="220"/>
        <w:rPr>
          <w:color w:val="5F6062"/>
        </w:rPr>
      </w:pPr>
    </w:p>
    <w:p w:rsidR="00805DE8" w:rsidRDefault="00805DE8">
      <w:pPr>
        <w:pStyle w:val="BodyText"/>
        <w:spacing w:before="53"/>
        <w:ind w:left="220"/>
        <w:rPr>
          <w:color w:val="5F6062"/>
        </w:rPr>
      </w:pPr>
    </w:p>
    <w:p w:rsidR="005A2855" w:rsidRDefault="00805DE8">
      <w:pPr>
        <w:pStyle w:val="BodyText"/>
        <w:spacing w:before="53"/>
        <w:ind w:left="220"/>
      </w:pPr>
      <w:r>
        <w:rPr>
          <w:color w:val="5F6062"/>
        </w:rPr>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5A2855" w:rsidRDefault="005A2855">
      <w:pPr>
        <w:rPr>
          <w:rFonts w:ascii="Arial" w:eastAsia="Arial" w:hAnsi="Arial" w:cs="Arial"/>
          <w:sz w:val="28"/>
          <w:szCs w:val="28"/>
        </w:rPr>
      </w:pPr>
    </w:p>
    <w:p w:rsidR="005A2855" w:rsidRDefault="00805DE8">
      <w:pPr>
        <w:pStyle w:val="ListParagraph"/>
        <w:numPr>
          <w:ilvl w:val="0"/>
          <w:numId w:val="9"/>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5A2855" w:rsidRDefault="005A2855">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3"/>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3"/>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5A2855">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sectPr w:rsidR="005A2855">
          <w:type w:val="continuous"/>
          <w:pgSz w:w="12240" w:h="15840"/>
          <w:pgMar w:top="1220" w:right="1320" w:bottom="280" w:left="122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spacing w:before="4"/>
        <w:rPr>
          <w:rFonts w:ascii="Arial" w:eastAsia="Arial" w:hAnsi="Arial" w:cs="Arial"/>
          <w:b/>
          <w:bCs/>
          <w:sz w:val="13"/>
          <w:szCs w:val="13"/>
        </w:rPr>
      </w:pPr>
    </w:p>
    <w:p w:rsidR="005A2855" w:rsidRDefault="00805DE8">
      <w:pPr>
        <w:pStyle w:val="ListParagraph"/>
        <w:numPr>
          <w:ilvl w:val="0"/>
          <w:numId w:val="9"/>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5A2855" w:rsidRDefault="005A2855">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A2855" w:rsidRDefault="005A2855">
      <w:pPr>
        <w:spacing w:before="7"/>
        <w:rPr>
          <w:rFonts w:ascii="Arial" w:eastAsia="Arial" w:hAnsi="Arial" w:cs="Arial"/>
          <w:b/>
          <w:bCs/>
          <w:sz w:val="19"/>
          <w:szCs w:val="19"/>
        </w:rPr>
      </w:pPr>
    </w:p>
    <w:p w:rsidR="005A2855" w:rsidRDefault="00805DE8">
      <w:pPr>
        <w:pStyle w:val="ListParagraph"/>
        <w:numPr>
          <w:ilvl w:val="0"/>
          <w:numId w:val="9"/>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5A2855" w:rsidRDefault="005A2855">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5A2855">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5A2855">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5A2855" w:rsidRDefault="005A2855"/>
        </w:tc>
      </w:tr>
      <w:tr w:rsidR="005A2855">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5A2855" w:rsidRDefault="005A2855"/>
        </w:tc>
      </w:tr>
      <w:tr w:rsidR="005A2855">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5A2855" w:rsidRDefault="005A2855"/>
        </w:tc>
      </w:tr>
      <w:tr w:rsidR="005A2855">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5A2855" w:rsidRDefault="005A2855"/>
        </w:tc>
      </w:tr>
    </w:tbl>
    <w:p w:rsidR="005A2855" w:rsidRDefault="005A2855">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847C7" w:rsidRDefault="005847C7">
      <w:pPr>
        <w:spacing w:before="4"/>
        <w:rPr>
          <w:rFonts w:ascii="Arial" w:eastAsia="Arial" w:hAnsi="Arial" w:cs="Arial"/>
          <w:b/>
          <w:bCs/>
          <w:sz w:val="13"/>
          <w:szCs w:val="13"/>
        </w:rPr>
      </w:pPr>
    </w:p>
    <w:p w:rsidR="005A2855" w:rsidRDefault="00805DE8">
      <w:pPr>
        <w:pStyle w:val="ListParagraph"/>
        <w:numPr>
          <w:ilvl w:val="0"/>
          <w:numId w:val="9"/>
        </w:numPr>
        <w:tabs>
          <w:tab w:val="left" w:pos="578"/>
        </w:tabs>
        <w:spacing w:before="74"/>
        <w:ind w:left="577" w:hanging="357"/>
        <w:rPr>
          <w:rFonts w:ascii="Arial" w:eastAsia="Arial" w:hAnsi="Arial" w:cs="Arial"/>
          <w:sz w:val="20"/>
          <w:szCs w:val="20"/>
        </w:rPr>
      </w:pPr>
      <w:r>
        <w:rPr>
          <w:rFonts w:ascii="Arial"/>
          <w:b/>
          <w:color w:val="007DC3"/>
          <w:sz w:val="20"/>
        </w:rPr>
        <w:lastRenderedPageBreak/>
        <w:t>Planning and</w:t>
      </w:r>
      <w:r>
        <w:rPr>
          <w:rFonts w:ascii="Arial"/>
          <w:b/>
          <w:color w:val="007DC3"/>
          <w:spacing w:val="1"/>
          <w:sz w:val="20"/>
        </w:rPr>
        <w:t xml:space="preserve"> </w:t>
      </w:r>
      <w:r>
        <w:rPr>
          <w:rFonts w:ascii="Arial"/>
          <w:b/>
          <w:color w:val="007DC3"/>
          <w:sz w:val="20"/>
        </w:rPr>
        <w:t>Reporting</w:t>
      </w:r>
    </w:p>
    <w:p w:rsidR="005A2855" w:rsidRDefault="005A2855">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5847C7" w:rsidRPr="005847C7" w:rsidRDefault="00805DE8" w:rsidP="005847C7">
            <w:pPr>
              <w:pStyle w:val="TableParagraph"/>
              <w:spacing w:before="115"/>
              <w:ind w:left="103" w:right="167"/>
              <w:rPr>
                <w:rFonts w:ascii="Arial" w:eastAsia="Arial" w:hAnsi="Arial" w:cs="Arial"/>
                <w:i/>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r w:rsidR="005847C7">
              <w:rPr>
                <w:rFonts w:ascii="Arial" w:eastAsia="Arial" w:hAnsi="Arial" w:cs="Arial"/>
                <w:i/>
                <w:sz w:val="20"/>
                <w:szCs w:val="20"/>
              </w:rPr>
              <w:t xml:space="preserve"> plan and annual budget</w:t>
            </w:r>
          </w:p>
        </w:tc>
      </w:tr>
      <w:tr w:rsidR="005A2855" w:rsidTr="005847C7">
        <w:trPr>
          <w:trHeight w:hRule="exact" w:val="75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4.1.</w:t>
            </w:r>
            <w:r w:rsidRPr="005847C7">
              <w:rPr>
                <w:rFonts w:ascii="Arial" w:eastAsia="Arial" w:hAnsi="Arial" w:cs="Arial"/>
                <w:sz w:val="20"/>
                <w:szCs w:val="20"/>
              </w:rPr>
              <w:t>2</w:t>
            </w:r>
            <w:r w:rsidRPr="005847C7">
              <w:rPr>
                <w:rFonts w:ascii="Arial" w:eastAsia="Arial" w:hAnsi="Arial" w:cs="Arial"/>
                <w:sz w:val="20"/>
                <w:szCs w:val="20"/>
              </w:rPr>
              <w:tab/>
              <w:t>Develop and implement AHPRA Business Plan</w:t>
            </w:r>
          </w:p>
        </w:tc>
        <w:tc>
          <w:tcPr>
            <w:tcW w:w="2693" w:type="dxa"/>
            <w:vMerge/>
            <w:tcBorders>
              <w:left w:val="single" w:sz="4" w:space="0" w:color="000000"/>
              <w:bottom w:val="single" w:sz="4" w:space="0" w:color="000000"/>
              <w:right w:val="single" w:sz="4" w:space="0" w:color="000000"/>
            </w:tcBorders>
          </w:tcPr>
          <w:p w:rsidR="005A2855" w:rsidRDefault="005A2855"/>
        </w:tc>
      </w:tr>
      <w:tr w:rsidR="005847C7" w:rsidTr="005847C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847C7" w:rsidRPr="005847C7" w:rsidRDefault="005847C7">
            <w:pPr>
              <w:pStyle w:val="TableParagraph"/>
              <w:tabs>
                <w:tab w:val="left" w:pos="823"/>
              </w:tabs>
              <w:spacing w:before="117"/>
              <w:ind w:left="103"/>
              <w:rPr>
                <w:rFonts w:ascii="Arial" w:hAnsi="Arial" w:cs="Arial"/>
                <w:spacing w:val="-1"/>
                <w:w w:val="95"/>
                <w:sz w:val="20"/>
              </w:rPr>
            </w:pPr>
            <w:r w:rsidRPr="005847C7">
              <w:rPr>
                <w:rFonts w:ascii="Arial" w:eastAsia="Arial" w:hAnsi="Arial" w:cs="Arial"/>
                <w:sz w:val="20"/>
                <w:szCs w:val="20"/>
              </w:rPr>
              <w:t>4.1.3</w:t>
            </w:r>
            <w:r w:rsidRPr="005847C7">
              <w:rPr>
                <w:rFonts w:ascii="Arial" w:eastAsia="Arial" w:hAnsi="Arial" w:cs="Arial"/>
                <w:sz w:val="20"/>
                <w:szCs w:val="20"/>
              </w:rPr>
              <w:tab/>
              <w:t>Develop and implement National Board Regulatory Plan</w:t>
            </w:r>
          </w:p>
        </w:tc>
        <w:tc>
          <w:tcPr>
            <w:tcW w:w="2693" w:type="dxa"/>
            <w:tcBorders>
              <w:left w:val="single" w:sz="4" w:space="0" w:color="000000"/>
              <w:right w:val="single" w:sz="4" w:space="0" w:color="000000"/>
            </w:tcBorders>
          </w:tcPr>
          <w:p w:rsidR="005847C7" w:rsidRDefault="005847C7"/>
        </w:tc>
      </w:tr>
      <w:tr w:rsidR="005847C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847C7" w:rsidRDefault="005847C7">
            <w:pPr>
              <w:pStyle w:val="TableParagraph"/>
              <w:tabs>
                <w:tab w:val="left" w:pos="823"/>
              </w:tabs>
              <w:spacing w:before="117"/>
              <w:ind w:left="103"/>
              <w:rPr>
                <w:rFonts w:ascii="Arial"/>
                <w:spacing w:val="-1"/>
                <w:w w:val="95"/>
                <w:sz w:val="20"/>
              </w:rPr>
            </w:pPr>
            <w:r w:rsidRPr="005847C7">
              <w:rPr>
                <w:rFonts w:ascii="Arial" w:eastAsia="Arial" w:hAnsi="Arial" w:cs="Arial"/>
                <w:sz w:val="20"/>
                <w:szCs w:val="20"/>
              </w:rPr>
              <w:t xml:space="preserve">4.1.4 </w:t>
            </w:r>
            <w:r w:rsidRPr="005847C7">
              <w:rPr>
                <w:rFonts w:ascii="Arial" w:eastAsia="Arial" w:hAnsi="Arial" w:cs="Arial"/>
                <w:sz w:val="20"/>
                <w:szCs w:val="20"/>
              </w:rPr>
              <w:tab/>
              <w:t>HPA engagement and development</w:t>
            </w:r>
            <w:r>
              <w:rPr>
                <w:rFonts w:ascii="Arial"/>
                <w:spacing w:val="-1"/>
                <w:w w:val="95"/>
                <w:sz w:val="20"/>
              </w:rPr>
              <w:t xml:space="preserve"> </w:t>
            </w:r>
          </w:p>
        </w:tc>
        <w:tc>
          <w:tcPr>
            <w:tcW w:w="2693" w:type="dxa"/>
            <w:tcBorders>
              <w:left w:val="single" w:sz="4" w:space="0" w:color="000000"/>
              <w:bottom w:val="single" w:sz="4" w:space="0" w:color="000000"/>
              <w:right w:val="single" w:sz="4" w:space="0" w:color="000000"/>
            </w:tcBorders>
          </w:tcPr>
          <w:p w:rsidR="005847C7" w:rsidRDefault="005847C7"/>
        </w:tc>
      </w:tr>
    </w:tbl>
    <w:p w:rsidR="005A2855" w:rsidRDefault="005A2855">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spacing w:before="4"/>
        <w:rPr>
          <w:rFonts w:ascii="Arial" w:eastAsia="Arial" w:hAnsi="Arial" w:cs="Arial"/>
          <w:b/>
          <w:bCs/>
          <w:sz w:val="13"/>
          <w:szCs w:val="13"/>
        </w:rPr>
      </w:pPr>
    </w:p>
    <w:p w:rsidR="005A2855" w:rsidRDefault="00805DE8">
      <w:pPr>
        <w:pStyle w:val="ListParagraph"/>
        <w:numPr>
          <w:ilvl w:val="0"/>
          <w:numId w:val="9"/>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5A2855" w:rsidRDefault="005A2855">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5A2855">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3"/>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5A2855">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5A2855" w:rsidRDefault="005A2855"/>
        </w:tc>
      </w:tr>
      <w:tr w:rsidR="005A2855">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5A2855" w:rsidRDefault="005A2855"/>
        </w:tc>
      </w:tr>
      <w:tr w:rsidR="005A2855">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5A2855" w:rsidRDefault="005A2855"/>
        </w:tc>
      </w:tr>
    </w:tbl>
    <w:p w:rsidR="005A2855" w:rsidRDefault="005A2855">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5A2855" w:rsidRDefault="005A2855"/>
        </w:tc>
      </w:tr>
    </w:tbl>
    <w:p w:rsidR="005847C7" w:rsidRPr="005847C7" w:rsidRDefault="005847C7" w:rsidP="005847C7">
      <w:pPr>
        <w:pStyle w:val="ListParagraph"/>
        <w:tabs>
          <w:tab w:val="left" w:pos="580"/>
        </w:tabs>
        <w:ind w:left="578"/>
        <w:rPr>
          <w:rFonts w:ascii="Arial" w:eastAsia="Arial" w:hAnsi="Arial" w:cs="Arial"/>
          <w:sz w:val="20"/>
          <w:szCs w:val="20"/>
        </w:rPr>
      </w:pPr>
    </w:p>
    <w:p w:rsidR="005A2855" w:rsidRDefault="00805DE8" w:rsidP="005847C7">
      <w:pPr>
        <w:pStyle w:val="ListParagraph"/>
        <w:numPr>
          <w:ilvl w:val="0"/>
          <w:numId w:val="9"/>
        </w:numPr>
        <w:tabs>
          <w:tab w:val="left" w:pos="580"/>
        </w:tabs>
        <w:ind w:left="578" w:hanging="359"/>
        <w:rPr>
          <w:rFonts w:ascii="Arial" w:eastAsia="Arial" w:hAnsi="Arial" w:cs="Arial"/>
          <w:sz w:val="20"/>
          <w:szCs w:val="20"/>
        </w:rPr>
      </w:pPr>
      <w:r>
        <w:rPr>
          <w:rFonts w:ascii="Arial"/>
          <w:b/>
          <w:color w:val="007DC3"/>
          <w:sz w:val="20"/>
        </w:rPr>
        <w:t>Data, Research and</w:t>
      </w:r>
      <w:r>
        <w:rPr>
          <w:rFonts w:ascii="Arial"/>
          <w:b/>
          <w:color w:val="007DC3"/>
          <w:spacing w:val="5"/>
          <w:sz w:val="20"/>
        </w:rPr>
        <w:t xml:space="preserve"> </w:t>
      </w:r>
      <w:r>
        <w:rPr>
          <w:rFonts w:ascii="Arial"/>
          <w:b/>
          <w:color w:val="007DC3"/>
          <w:sz w:val="20"/>
        </w:rPr>
        <w:t>Analysis</w:t>
      </w:r>
    </w:p>
    <w:p w:rsidR="005A2855" w:rsidRDefault="005A2855">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5A2855" w:rsidRDefault="005A2855"/>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5A2855" w:rsidRDefault="005A2855"/>
        </w:tc>
      </w:tr>
      <w:tr w:rsidR="005A2855">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p w:rsidR="005847C7" w:rsidRDefault="005847C7">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A285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A2855" w:rsidRDefault="005A2855">
            <w:pPr>
              <w:pStyle w:val="TableParagraph"/>
              <w:spacing w:before="1"/>
              <w:rPr>
                <w:rFonts w:ascii="Arial" w:eastAsia="Arial" w:hAnsi="Arial" w:cs="Arial"/>
                <w:b/>
                <w:bCs/>
                <w:sz w:val="17"/>
                <w:szCs w:val="17"/>
              </w:rPr>
            </w:pPr>
          </w:p>
          <w:p w:rsidR="005A2855" w:rsidRDefault="00805DE8">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5A285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A2855" w:rsidRDefault="00805DE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A2855" w:rsidRDefault="00805DE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5A2855" w:rsidRDefault="00805DE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5A2855" w:rsidRDefault="005A2855"/>
        </w:tc>
      </w:tr>
      <w:tr w:rsidR="005A285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A2855" w:rsidRDefault="00805DE8">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5A2855" w:rsidRDefault="005A2855"/>
        </w:tc>
      </w:tr>
    </w:tbl>
    <w:p w:rsidR="005A2855" w:rsidRDefault="005A2855">
      <w:pPr>
        <w:sectPr w:rsidR="005A2855">
          <w:pgSz w:w="12240" w:h="15840"/>
          <w:pgMar w:top="1220" w:right="1320" w:bottom="280" w:left="1220" w:header="720" w:footer="720" w:gutter="0"/>
          <w:cols w:space="720"/>
        </w:sectPr>
      </w:pPr>
    </w:p>
    <w:p w:rsidR="005A2855" w:rsidRDefault="00805DE8">
      <w:pPr>
        <w:pStyle w:val="BodyText"/>
        <w:spacing w:before="39" w:line="242" w:lineRule="auto"/>
        <w:ind w:left="206" w:right="100"/>
        <w:rPr>
          <w:rFonts w:cs="Arial"/>
        </w:rPr>
      </w:pPr>
      <w:bookmarkStart w:id="2" w:name="Schedule_2:_Summary_of_National_Scheme_S"/>
      <w:bookmarkEnd w:id="2"/>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5A2855" w:rsidRDefault="005A2855">
      <w:pPr>
        <w:rPr>
          <w:rFonts w:ascii="Arial" w:eastAsia="Arial" w:hAnsi="Arial" w:cs="Arial"/>
          <w:sz w:val="20"/>
          <w:szCs w:val="20"/>
        </w:rPr>
      </w:pPr>
    </w:p>
    <w:p w:rsidR="005A2855" w:rsidRDefault="005A2855">
      <w:pPr>
        <w:spacing w:before="9"/>
        <w:rPr>
          <w:rFonts w:ascii="Arial" w:eastAsia="Arial" w:hAnsi="Arial" w:cs="Arial"/>
          <w:sz w:val="20"/>
          <w:szCs w:val="20"/>
        </w:rPr>
      </w:pPr>
    </w:p>
    <w:p w:rsidR="005A2855" w:rsidRDefault="00805DE8">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621834" cy="3989832"/>
                    </a:xfrm>
                    <a:prstGeom prst="rect">
                      <a:avLst/>
                    </a:prstGeom>
                  </pic:spPr>
                </pic:pic>
              </a:graphicData>
            </a:graphic>
          </wp:inline>
        </w:drawing>
      </w:r>
    </w:p>
    <w:p w:rsidR="005A2855" w:rsidRDefault="005A2855">
      <w:pPr>
        <w:spacing w:before="2"/>
        <w:rPr>
          <w:rFonts w:ascii="Arial" w:eastAsia="Arial" w:hAnsi="Arial" w:cs="Arial"/>
          <w:sz w:val="8"/>
          <w:szCs w:val="8"/>
        </w:rPr>
      </w:pPr>
    </w:p>
    <w:p w:rsidR="005A2855" w:rsidRDefault="00805DE8" w:rsidP="00941A45">
      <w:pPr>
        <w:spacing w:line="6990" w:lineRule="exact"/>
        <w:ind w:left="109"/>
        <w:rPr>
          <w:rFonts w:ascii="Arial" w:eastAsia="Arial" w:hAnsi="Arial" w:cs="Arial"/>
          <w:sz w:val="20"/>
          <w:szCs w:val="20"/>
        </w:rPr>
        <w:sectPr w:rsidR="005A2855">
          <w:pgSz w:w="11910" w:h="16840"/>
          <w:pgMar w:top="1180" w:right="820" w:bottom="280" w:left="1080" w:header="720" w:footer="720" w:gutter="0"/>
          <w:cols w:space="720"/>
        </w:sect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139217" cy="4439126"/>
                    </a:xfrm>
                    <a:prstGeom prst="rect">
                      <a:avLst/>
                    </a:prstGeom>
                  </pic:spPr>
                </pic:pic>
              </a:graphicData>
            </a:graphic>
          </wp:inline>
        </w:drawing>
      </w:r>
    </w:p>
    <w:p w:rsidR="009B7609" w:rsidRPr="00941A45" w:rsidRDefault="009B7609" w:rsidP="009B7609">
      <w:pPr>
        <w:rPr>
          <w:rFonts w:ascii="Arial" w:hAnsi="Arial" w:cs="Arial"/>
          <w:noProof/>
          <w:color w:val="00BCE4"/>
          <w:sz w:val="32"/>
          <w:lang w:val="en-AU" w:eastAsia="ja-JP"/>
        </w:rPr>
      </w:pPr>
      <w:r w:rsidRPr="00941A45">
        <w:rPr>
          <w:rFonts w:ascii="Arial" w:hAnsi="Arial" w:cs="Arial"/>
          <w:color w:val="00BCE4"/>
          <w:sz w:val="32"/>
        </w:rPr>
        <w:lastRenderedPageBreak/>
        <w:t>National Board Regulatory Plan 2018-19: Osteopathy Board of Australia</w:t>
      </w:r>
      <w:r w:rsidRPr="00941A45">
        <w:rPr>
          <w:rFonts w:ascii="Arial" w:hAnsi="Arial" w:cs="Arial"/>
          <w:color w:val="00BCE4"/>
          <w:sz w:val="32"/>
        </w:rPr>
        <w:tab/>
        <w:t xml:space="preserve"> </w:t>
      </w:r>
    </w:p>
    <w:p w:rsidR="009B7609" w:rsidRPr="008B38A6" w:rsidRDefault="009B7609" w:rsidP="009B7609">
      <w:pPr>
        <w:rPr>
          <w:color w:val="00BCE4"/>
          <w:sz w:val="32"/>
        </w:rPr>
      </w:pPr>
    </w:p>
    <w:tbl>
      <w:tblPr>
        <w:tblStyle w:val="TableGrid"/>
        <w:tblW w:w="138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Look w:val="04A0" w:firstRow="1" w:lastRow="0" w:firstColumn="1" w:lastColumn="0" w:noHBand="0" w:noVBand="1"/>
      </w:tblPr>
      <w:tblGrid>
        <w:gridCol w:w="2660"/>
        <w:gridCol w:w="3969"/>
        <w:gridCol w:w="7229"/>
      </w:tblGrid>
      <w:tr w:rsidR="009B7609" w:rsidRPr="005E2555" w:rsidTr="00941A45">
        <w:trPr>
          <w:trHeight w:val="411"/>
          <w:tblHeader/>
        </w:trPr>
        <w:tc>
          <w:tcPr>
            <w:tcW w:w="2660" w:type="dxa"/>
            <w:shd w:val="clear" w:color="auto" w:fill="007DC3"/>
          </w:tcPr>
          <w:p w:rsidR="009B7609" w:rsidRPr="00941A45" w:rsidRDefault="009B7609" w:rsidP="00941A45">
            <w:pPr>
              <w:pStyle w:val="Default"/>
              <w:spacing w:line="276" w:lineRule="auto"/>
              <w:rPr>
                <w:b/>
                <w:color w:val="FFFFFF" w:themeColor="background1"/>
                <w:sz w:val="20"/>
                <w:szCs w:val="20"/>
              </w:rPr>
            </w:pPr>
            <w:r w:rsidRPr="00941A45">
              <w:rPr>
                <w:b/>
                <w:color w:val="FFFFFF" w:themeColor="background1"/>
                <w:sz w:val="20"/>
                <w:szCs w:val="20"/>
              </w:rPr>
              <w:t>Strategic Outcomes</w:t>
            </w:r>
          </w:p>
        </w:tc>
        <w:tc>
          <w:tcPr>
            <w:tcW w:w="3969" w:type="dxa"/>
            <w:shd w:val="clear" w:color="auto" w:fill="007DC3"/>
          </w:tcPr>
          <w:p w:rsidR="009B7609" w:rsidRPr="00941A45" w:rsidRDefault="009B7609" w:rsidP="00941A45">
            <w:pPr>
              <w:pStyle w:val="Default"/>
              <w:spacing w:line="276" w:lineRule="auto"/>
              <w:rPr>
                <w:b/>
                <w:color w:val="FFFFFF" w:themeColor="background1"/>
                <w:sz w:val="20"/>
                <w:szCs w:val="20"/>
              </w:rPr>
            </w:pPr>
            <w:r w:rsidRPr="00941A45">
              <w:rPr>
                <w:b/>
                <w:color w:val="FFFFFF" w:themeColor="background1"/>
                <w:sz w:val="20"/>
                <w:szCs w:val="20"/>
              </w:rPr>
              <w:t xml:space="preserve">Relevant Strategic Objectives </w:t>
            </w:r>
          </w:p>
          <w:p w:rsidR="009B7609" w:rsidRPr="00941A45" w:rsidRDefault="009B7609" w:rsidP="00941A45">
            <w:pPr>
              <w:pStyle w:val="Default"/>
              <w:spacing w:line="276" w:lineRule="auto"/>
              <w:rPr>
                <w:i/>
                <w:color w:val="FFFFFF" w:themeColor="background1"/>
                <w:sz w:val="20"/>
                <w:szCs w:val="20"/>
              </w:rPr>
            </w:pPr>
          </w:p>
        </w:tc>
        <w:tc>
          <w:tcPr>
            <w:tcW w:w="7229" w:type="dxa"/>
            <w:shd w:val="clear" w:color="auto" w:fill="007DC3"/>
          </w:tcPr>
          <w:p w:rsidR="009B7609" w:rsidRPr="00941A45" w:rsidRDefault="009B7609" w:rsidP="00941A45">
            <w:pPr>
              <w:pStyle w:val="Default"/>
              <w:spacing w:line="276" w:lineRule="auto"/>
              <w:rPr>
                <w:b/>
                <w:color w:val="FFFFFF" w:themeColor="background1"/>
                <w:sz w:val="20"/>
                <w:szCs w:val="20"/>
              </w:rPr>
            </w:pPr>
            <w:r w:rsidRPr="00941A45">
              <w:rPr>
                <w:b/>
                <w:color w:val="FFFFFF" w:themeColor="background1"/>
                <w:sz w:val="20"/>
                <w:szCs w:val="20"/>
              </w:rPr>
              <w:t>Strategic Initiatives</w:t>
            </w:r>
          </w:p>
        </w:tc>
      </w:tr>
      <w:tr w:rsidR="009B7609" w:rsidRPr="005E2555" w:rsidTr="00941A45">
        <w:trPr>
          <w:trHeight w:val="893"/>
        </w:trPr>
        <w:tc>
          <w:tcPr>
            <w:tcW w:w="2660"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t>1. Reduced risk of harm to the public associated with the practice of regulated health professions.</w:t>
            </w:r>
          </w:p>
        </w:tc>
        <w:tc>
          <w:tcPr>
            <w:tcW w:w="3969"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t>EP2: Increase activities that reduce harm</w:t>
            </w:r>
          </w:p>
          <w:p w:rsidR="009B7609" w:rsidRPr="00941A45" w:rsidRDefault="009B7609" w:rsidP="00941A45">
            <w:pPr>
              <w:pStyle w:val="Default"/>
              <w:spacing w:before="120" w:after="120" w:line="276" w:lineRule="auto"/>
              <w:rPr>
                <w:sz w:val="20"/>
                <w:szCs w:val="20"/>
              </w:rPr>
            </w:pPr>
            <w:r w:rsidRPr="00941A45">
              <w:rPr>
                <w:sz w:val="20"/>
                <w:szCs w:val="20"/>
              </w:rPr>
              <w:t>EP1: Improve strategic intelligence gathering</w:t>
            </w:r>
          </w:p>
        </w:tc>
        <w:tc>
          <w:tcPr>
            <w:tcW w:w="7229" w:type="dxa"/>
            <w:shd w:val="clear" w:color="auto" w:fill="D9D9D9" w:themeFill="background1" w:themeFillShade="D9"/>
          </w:tcPr>
          <w:p w:rsidR="009B7609" w:rsidRPr="00941A45" w:rsidRDefault="009B7609" w:rsidP="00941A45">
            <w:pPr>
              <w:spacing w:before="60" w:after="60"/>
              <w:ind w:right="1593"/>
              <w:rPr>
                <w:rFonts w:cs="Arial"/>
              </w:rPr>
            </w:pPr>
            <w:r w:rsidRPr="00941A45">
              <w:rPr>
                <w:rFonts w:cs="Arial"/>
              </w:rPr>
              <w:t>Review the common code of conduct; and monitor inclusion of clinical records guidelines in the review</w:t>
            </w:r>
          </w:p>
          <w:p w:rsidR="009B7609" w:rsidRPr="00941A45" w:rsidRDefault="009B7609" w:rsidP="00941A45">
            <w:pPr>
              <w:spacing w:before="60" w:after="60"/>
              <w:ind w:right="1593"/>
              <w:rPr>
                <w:rFonts w:cs="Arial"/>
              </w:rPr>
            </w:pPr>
          </w:p>
          <w:p w:rsidR="009B7609" w:rsidRPr="00941A45" w:rsidRDefault="009B7609" w:rsidP="00941A45">
            <w:pPr>
              <w:spacing w:before="60" w:after="60"/>
              <w:ind w:right="1593"/>
              <w:rPr>
                <w:rFonts w:cs="Arial"/>
              </w:rPr>
            </w:pPr>
            <w:r w:rsidRPr="00941A45">
              <w:rPr>
                <w:rFonts w:cs="Arial"/>
              </w:rPr>
              <w:t>Analysis and management of risk to public and the board</w:t>
            </w:r>
          </w:p>
        </w:tc>
      </w:tr>
      <w:tr w:rsidR="009B7609" w:rsidRPr="005E2555" w:rsidTr="00941A45">
        <w:trPr>
          <w:trHeight w:val="149"/>
        </w:trPr>
        <w:tc>
          <w:tcPr>
            <w:tcW w:w="2660"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t>2. Assurance that registered health practitioners are suitably trained and qualified to practise in a competent and ethical manner.</w:t>
            </w:r>
          </w:p>
        </w:tc>
        <w:tc>
          <w:tcPr>
            <w:tcW w:w="3969"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t>SV1: Reduce Risk of Harm to the Public</w:t>
            </w:r>
          </w:p>
          <w:p w:rsidR="009B7609" w:rsidRPr="00941A45" w:rsidRDefault="009B7609" w:rsidP="00941A45">
            <w:pPr>
              <w:pStyle w:val="Default"/>
              <w:spacing w:before="120" w:after="120" w:line="276" w:lineRule="auto"/>
              <w:rPr>
                <w:sz w:val="20"/>
                <w:szCs w:val="20"/>
              </w:rPr>
            </w:pPr>
            <w:r w:rsidRPr="00941A45">
              <w:rPr>
                <w:sz w:val="20"/>
                <w:szCs w:val="20"/>
              </w:rPr>
              <w:t>EP2 Increase activities that reduce harm</w:t>
            </w:r>
          </w:p>
          <w:p w:rsidR="009B7609" w:rsidRPr="00941A45" w:rsidRDefault="009B7609" w:rsidP="00941A45">
            <w:pPr>
              <w:pStyle w:val="Default"/>
              <w:spacing w:before="120" w:after="120" w:line="276" w:lineRule="auto"/>
              <w:rPr>
                <w:sz w:val="20"/>
                <w:szCs w:val="20"/>
              </w:rPr>
            </w:pPr>
            <w:r w:rsidRPr="00941A45">
              <w:rPr>
                <w:sz w:val="20"/>
                <w:szCs w:val="20"/>
              </w:rPr>
              <w:t>EP1: Improve strategic intelligence gathering</w:t>
            </w:r>
          </w:p>
          <w:p w:rsidR="009B7609" w:rsidRPr="00941A45" w:rsidRDefault="009B7609" w:rsidP="00941A45">
            <w:pPr>
              <w:pStyle w:val="Default"/>
              <w:spacing w:before="120" w:after="120" w:line="276" w:lineRule="auto"/>
              <w:rPr>
                <w:sz w:val="20"/>
                <w:szCs w:val="20"/>
              </w:rPr>
            </w:pPr>
            <w:r w:rsidRPr="00941A45">
              <w:rPr>
                <w:sz w:val="20"/>
                <w:szCs w:val="20"/>
              </w:rPr>
              <w:t>EP4: Improve quality of service</w:t>
            </w:r>
          </w:p>
          <w:p w:rsidR="009B7609" w:rsidRPr="00941A45" w:rsidRDefault="009B7609" w:rsidP="00941A45">
            <w:pPr>
              <w:pStyle w:val="Default"/>
              <w:spacing w:before="120" w:after="120" w:line="276" w:lineRule="auto"/>
              <w:rPr>
                <w:sz w:val="20"/>
                <w:szCs w:val="20"/>
              </w:rPr>
            </w:pPr>
            <w:r w:rsidRPr="00941A45">
              <w:rPr>
                <w:sz w:val="20"/>
                <w:szCs w:val="20"/>
              </w:rPr>
              <w:t>EP5: Refine our operating model</w:t>
            </w:r>
          </w:p>
          <w:p w:rsidR="009B7609" w:rsidRPr="00941A45" w:rsidRDefault="009B7609" w:rsidP="00941A45">
            <w:pPr>
              <w:pStyle w:val="Default"/>
              <w:spacing w:before="120" w:after="120" w:line="276" w:lineRule="auto"/>
              <w:rPr>
                <w:sz w:val="20"/>
                <w:szCs w:val="20"/>
              </w:rPr>
            </w:pPr>
            <w:r w:rsidRPr="00941A45">
              <w:rPr>
                <w:sz w:val="20"/>
                <w:szCs w:val="20"/>
              </w:rPr>
              <w:t>CC5 Improve and modernise our physical and digital environment</w:t>
            </w:r>
          </w:p>
        </w:tc>
        <w:tc>
          <w:tcPr>
            <w:tcW w:w="7229" w:type="dxa"/>
            <w:shd w:val="clear" w:color="auto" w:fill="D9D9D9" w:themeFill="background1" w:themeFillShade="D9"/>
          </w:tcPr>
          <w:p w:rsidR="009B7609" w:rsidRPr="00941A45" w:rsidRDefault="009B7609" w:rsidP="00941A45">
            <w:pPr>
              <w:spacing w:before="60" w:after="60"/>
              <w:ind w:right="1593"/>
              <w:rPr>
                <w:rFonts w:cs="Arial"/>
              </w:rPr>
            </w:pPr>
            <w:r w:rsidRPr="00941A45">
              <w:rPr>
                <w:rFonts w:cs="Arial"/>
              </w:rPr>
              <w:t>Finalise review and revision of Capabilities for Osteopathic Practice as a fit for purpose document after a request for quote</w:t>
            </w:r>
          </w:p>
          <w:p w:rsidR="009B7609" w:rsidRPr="00941A45" w:rsidRDefault="009B7609" w:rsidP="00941A45">
            <w:pPr>
              <w:spacing w:before="60" w:after="60"/>
              <w:ind w:right="1593"/>
              <w:rPr>
                <w:rFonts w:cs="Arial"/>
              </w:rPr>
            </w:pPr>
          </w:p>
          <w:p w:rsidR="009B7609" w:rsidRPr="00941A45" w:rsidRDefault="009B7609" w:rsidP="00941A45">
            <w:pPr>
              <w:spacing w:before="60" w:after="60"/>
              <w:ind w:right="1593"/>
              <w:rPr>
                <w:rFonts w:cs="Arial"/>
              </w:rPr>
            </w:pPr>
            <w:r w:rsidRPr="00941A45">
              <w:rPr>
                <w:rFonts w:cs="Arial"/>
              </w:rPr>
              <w:t>Review existing processes relating to the activities associated with accreditation</w:t>
            </w:r>
          </w:p>
          <w:p w:rsidR="009B7609" w:rsidRPr="00941A45" w:rsidRDefault="009B7609" w:rsidP="00941A45">
            <w:pPr>
              <w:spacing w:before="60" w:after="60"/>
              <w:ind w:right="1593"/>
              <w:rPr>
                <w:rFonts w:cs="Arial"/>
              </w:rPr>
            </w:pPr>
          </w:p>
          <w:p w:rsidR="009B7609" w:rsidRPr="00941A45" w:rsidRDefault="009B7609" w:rsidP="00941A45">
            <w:pPr>
              <w:spacing w:before="60" w:after="60"/>
              <w:ind w:right="1593"/>
              <w:rPr>
                <w:rFonts w:cs="Arial"/>
              </w:rPr>
            </w:pPr>
            <w:r w:rsidRPr="00941A45">
              <w:rPr>
                <w:rFonts w:cs="Arial"/>
              </w:rPr>
              <w:t>Review of standard and competent authority pathways for overseas practitioners</w:t>
            </w:r>
          </w:p>
          <w:p w:rsidR="009B7609" w:rsidRPr="00941A45" w:rsidRDefault="009B7609" w:rsidP="00941A45">
            <w:pPr>
              <w:spacing w:before="60" w:after="60"/>
              <w:ind w:right="1593"/>
              <w:rPr>
                <w:rFonts w:cs="Arial"/>
              </w:rPr>
            </w:pPr>
          </w:p>
          <w:p w:rsidR="009B7609" w:rsidRPr="00941A45" w:rsidRDefault="009B7609" w:rsidP="00941A45">
            <w:pPr>
              <w:spacing w:before="60" w:after="60"/>
              <w:ind w:right="1593"/>
              <w:rPr>
                <w:rFonts w:cs="Arial"/>
              </w:rPr>
            </w:pPr>
            <w:r w:rsidRPr="00941A45">
              <w:rPr>
                <w:rFonts w:cs="Arial"/>
              </w:rPr>
              <w:t>Focus on child and adolescent training in the undergraduate core curriculum</w:t>
            </w:r>
          </w:p>
        </w:tc>
      </w:tr>
      <w:tr w:rsidR="009B7609" w:rsidRPr="005E2555" w:rsidTr="00941A45">
        <w:trPr>
          <w:trHeight w:val="149"/>
        </w:trPr>
        <w:tc>
          <w:tcPr>
            <w:tcW w:w="2660"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t xml:space="preserve">3. Increased public confidence in the effective </w:t>
            </w:r>
            <w:r w:rsidRPr="00941A45">
              <w:rPr>
                <w:sz w:val="20"/>
                <w:szCs w:val="20"/>
              </w:rPr>
              <w:lastRenderedPageBreak/>
              <w:t>and efficient regulation of health practitioners.</w:t>
            </w:r>
          </w:p>
        </w:tc>
        <w:tc>
          <w:tcPr>
            <w:tcW w:w="3969"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lastRenderedPageBreak/>
              <w:t>SV2: Increase strategic partner confidence</w:t>
            </w:r>
          </w:p>
          <w:p w:rsidR="009B7609" w:rsidRPr="00941A45" w:rsidRDefault="009B7609" w:rsidP="00941A45">
            <w:pPr>
              <w:pStyle w:val="Default"/>
              <w:spacing w:before="120" w:after="120" w:line="276" w:lineRule="auto"/>
              <w:rPr>
                <w:sz w:val="20"/>
                <w:szCs w:val="20"/>
              </w:rPr>
            </w:pPr>
            <w:r w:rsidRPr="00941A45">
              <w:rPr>
                <w:sz w:val="20"/>
                <w:szCs w:val="20"/>
              </w:rPr>
              <w:t>SV3: Improve customer experience</w:t>
            </w:r>
          </w:p>
          <w:p w:rsidR="009B7609" w:rsidRPr="00941A45" w:rsidRDefault="009B7609" w:rsidP="00941A45">
            <w:pPr>
              <w:pStyle w:val="Default"/>
              <w:spacing w:before="120" w:after="120" w:line="276" w:lineRule="auto"/>
              <w:rPr>
                <w:sz w:val="20"/>
                <w:szCs w:val="20"/>
              </w:rPr>
            </w:pPr>
            <w:r w:rsidRPr="00941A45">
              <w:rPr>
                <w:sz w:val="20"/>
                <w:szCs w:val="20"/>
              </w:rPr>
              <w:lastRenderedPageBreak/>
              <w:t>FE1: Reduce unnecessary regulatory burden</w:t>
            </w:r>
          </w:p>
          <w:p w:rsidR="009B7609" w:rsidRPr="00941A45" w:rsidRDefault="009B7609" w:rsidP="00941A45">
            <w:pPr>
              <w:pStyle w:val="Default"/>
              <w:spacing w:before="120" w:after="120" w:line="276" w:lineRule="auto"/>
              <w:rPr>
                <w:sz w:val="20"/>
                <w:szCs w:val="20"/>
              </w:rPr>
            </w:pPr>
            <w:r w:rsidRPr="00941A45">
              <w:rPr>
                <w:sz w:val="20"/>
                <w:szCs w:val="20"/>
              </w:rPr>
              <w:t>FE3: Improve financial sustainability</w:t>
            </w:r>
          </w:p>
          <w:p w:rsidR="009B7609" w:rsidRPr="00941A45" w:rsidRDefault="009B7609" w:rsidP="00941A45">
            <w:pPr>
              <w:pStyle w:val="Default"/>
              <w:spacing w:before="120" w:after="120" w:line="276" w:lineRule="auto"/>
              <w:rPr>
                <w:sz w:val="20"/>
                <w:szCs w:val="20"/>
              </w:rPr>
            </w:pPr>
            <w:r w:rsidRPr="00941A45">
              <w:rPr>
                <w:sz w:val="20"/>
                <w:szCs w:val="20"/>
              </w:rPr>
              <w:t>FE3: Improve cost effectiveness</w:t>
            </w:r>
          </w:p>
          <w:p w:rsidR="009B7609" w:rsidRPr="00941A45" w:rsidRDefault="009B7609" w:rsidP="00941A45">
            <w:pPr>
              <w:pStyle w:val="Default"/>
              <w:spacing w:before="120" w:after="120" w:line="276" w:lineRule="auto"/>
              <w:rPr>
                <w:sz w:val="20"/>
                <w:szCs w:val="20"/>
              </w:rPr>
            </w:pPr>
            <w:r w:rsidRPr="00941A45">
              <w:rPr>
                <w:sz w:val="20"/>
                <w:szCs w:val="20"/>
              </w:rPr>
              <w:t>EP4: Improve quality of service</w:t>
            </w:r>
          </w:p>
        </w:tc>
        <w:tc>
          <w:tcPr>
            <w:tcW w:w="7229" w:type="dxa"/>
            <w:shd w:val="clear" w:color="auto" w:fill="D9D9D9" w:themeFill="background1" w:themeFillShade="D9"/>
          </w:tcPr>
          <w:p w:rsidR="009B7609" w:rsidRPr="00941A45" w:rsidRDefault="009B7609" w:rsidP="00941A45">
            <w:pPr>
              <w:spacing w:before="60" w:after="60"/>
              <w:ind w:right="1593"/>
              <w:rPr>
                <w:rFonts w:cs="Arial"/>
              </w:rPr>
            </w:pPr>
            <w:r w:rsidRPr="00941A45">
              <w:rPr>
                <w:rFonts w:cs="Arial"/>
              </w:rPr>
              <w:lastRenderedPageBreak/>
              <w:t>Further develop strategies and platforms for communications and stakeholder relationships, including social media - aim to publish 3 newsletters a year</w:t>
            </w:r>
          </w:p>
          <w:p w:rsidR="009B7609" w:rsidRPr="00941A45" w:rsidRDefault="009B7609" w:rsidP="00941A45">
            <w:pPr>
              <w:spacing w:before="60" w:after="60"/>
              <w:ind w:right="1593"/>
              <w:rPr>
                <w:rFonts w:cs="Arial"/>
              </w:rPr>
            </w:pPr>
          </w:p>
          <w:p w:rsidR="009B7609" w:rsidRPr="00941A45" w:rsidRDefault="009B7609" w:rsidP="00941A45">
            <w:pPr>
              <w:spacing w:before="60" w:after="60"/>
              <w:ind w:right="1593"/>
              <w:rPr>
                <w:rFonts w:cs="Arial"/>
              </w:rPr>
            </w:pPr>
            <w:r w:rsidRPr="00941A45">
              <w:rPr>
                <w:rFonts w:cs="Arial"/>
              </w:rPr>
              <w:lastRenderedPageBreak/>
              <w:t>Watching brief on NRAS review outcomes</w:t>
            </w:r>
          </w:p>
          <w:p w:rsidR="009B7609" w:rsidRPr="00941A45" w:rsidRDefault="009B7609" w:rsidP="00941A45">
            <w:pPr>
              <w:spacing w:before="60" w:after="60"/>
              <w:ind w:right="1593"/>
              <w:rPr>
                <w:rFonts w:cs="Arial"/>
              </w:rPr>
            </w:pPr>
          </w:p>
          <w:p w:rsidR="009B7609" w:rsidRPr="00941A45" w:rsidRDefault="009B7609" w:rsidP="00941A45">
            <w:pPr>
              <w:pStyle w:val="ListParagraph"/>
              <w:spacing w:before="60" w:after="60"/>
              <w:ind w:left="317" w:right="1593"/>
              <w:rPr>
                <w:rFonts w:cs="Arial"/>
              </w:rPr>
            </w:pPr>
          </w:p>
        </w:tc>
      </w:tr>
      <w:tr w:rsidR="009B7609" w:rsidRPr="005E2555" w:rsidTr="00941A45">
        <w:trPr>
          <w:trHeight w:val="149"/>
        </w:trPr>
        <w:tc>
          <w:tcPr>
            <w:tcW w:w="2660"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lastRenderedPageBreak/>
              <w:t>4. Increased public benefit from the use of our data for practitioner regulation, health workforce planning and research.</w:t>
            </w:r>
          </w:p>
        </w:tc>
        <w:tc>
          <w:tcPr>
            <w:tcW w:w="3969"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t>FE2 Increase shared efficiencies with our strategic partners</w:t>
            </w:r>
          </w:p>
          <w:p w:rsidR="009B7609" w:rsidRPr="00941A45" w:rsidRDefault="009B7609" w:rsidP="00941A45">
            <w:pPr>
              <w:pStyle w:val="Default"/>
              <w:spacing w:before="120" w:after="120" w:line="276" w:lineRule="auto"/>
              <w:rPr>
                <w:sz w:val="20"/>
                <w:szCs w:val="20"/>
              </w:rPr>
            </w:pPr>
            <w:r w:rsidRPr="00941A45">
              <w:rPr>
                <w:sz w:val="20"/>
                <w:szCs w:val="20"/>
              </w:rPr>
              <w:t>EP1: Improve strategic intelligence gathering</w:t>
            </w:r>
          </w:p>
          <w:p w:rsidR="009B7609" w:rsidRPr="00941A45" w:rsidRDefault="009B7609" w:rsidP="00941A45">
            <w:pPr>
              <w:pStyle w:val="Default"/>
              <w:spacing w:before="120" w:after="120" w:line="276" w:lineRule="auto"/>
              <w:rPr>
                <w:sz w:val="20"/>
                <w:szCs w:val="20"/>
              </w:rPr>
            </w:pPr>
            <w:r w:rsidRPr="00941A45">
              <w:rPr>
                <w:sz w:val="20"/>
                <w:szCs w:val="20"/>
              </w:rPr>
              <w:t>EP3: Enhance strategic partnerships</w:t>
            </w:r>
          </w:p>
          <w:p w:rsidR="009B7609" w:rsidRPr="00941A45" w:rsidRDefault="009B7609" w:rsidP="00941A45">
            <w:pPr>
              <w:pStyle w:val="Default"/>
              <w:spacing w:before="120" w:after="120" w:line="276" w:lineRule="auto"/>
              <w:rPr>
                <w:sz w:val="20"/>
                <w:szCs w:val="20"/>
              </w:rPr>
            </w:pPr>
            <w:r w:rsidRPr="00941A45">
              <w:rPr>
                <w:sz w:val="20"/>
                <w:szCs w:val="20"/>
              </w:rPr>
              <w:t>CC2: Increase knowledge of the external environment</w:t>
            </w:r>
          </w:p>
          <w:p w:rsidR="009B7609" w:rsidRPr="00941A45" w:rsidRDefault="009B7609" w:rsidP="00941A45">
            <w:pPr>
              <w:pStyle w:val="Default"/>
              <w:spacing w:before="120" w:after="120" w:line="276" w:lineRule="auto"/>
              <w:rPr>
                <w:sz w:val="20"/>
                <w:szCs w:val="20"/>
              </w:rPr>
            </w:pPr>
            <w:r w:rsidRPr="00941A45">
              <w:rPr>
                <w:sz w:val="20"/>
                <w:szCs w:val="20"/>
              </w:rPr>
              <w:t>CC3: Enhance capacity for strategy</w:t>
            </w:r>
          </w:p>
          <w:p w:rsidR="009B7609" w:rsidRPr="00941A45" w:rsidRDefault="009B7609" w:rsidP="00941A45">
            <w:pPr>
              <w:pStyle w:val="Default"/>
              <w:spacing w:before="120" w:after="120" w:line="276" w:lineRule="auto"/>
              <w:rPr>
                <w:sz w:val="20"/>
                <w:szCs w:val="20"/>
              </w:rPr>
            </w:pPr>
            <w:r w:rsidRPr="00941A45">
              <w:rPr>
                <w:sz w:val="20"/>
                <w:szCs w:val="20"/>
              </w:rPr>
              <w:t>CC5 Improve and modernise our physical and digital environment</w:t>
            </w:r>
          </w:p>
        </w:tc>
        <w:tc>
          <w:tcPr>
            <w:tcW w:w="7229" w:type="dxa"/>
            <w:shd w:val="clear" w:color="auto" w:fill="D9D9D9" w:themeFill="background1" w:themeFillShade="D9"/>
          </w:tcPr>
          <w:p w:rsidR="009B7609" w:rsidRPr="00941A45" w:rsidRDefault="009B7609" w:rsidP="00941A45">
            <w:pPr>
              <w:spacing w:before="60" w:after="60"/>
              <w:ind w:right="1593"/>
              <w:rPr>
                <w:rFonts w:cs="Arial"/>
              </w:rPr>
            </w:pPr>
            <w:r w:rsidRPr="00941A45">
              <w:rPr>
                <w:rFonts w:cs="Arial"/>
              </w:rPr>
              <w:t>Framework for using unconventional practices and emerging treatments</w:t>
            </w:r>
          </w:p>
          <w:p w:rsidR="009B7609" w:rsidRPr="00941A45" w:rsidRDefault="009B7609" w:rsidP="00941A45">
            <w:pPr>
              <w:spacing w:before="60" w:after="60"/>
              <w:ind w:right="1593"/>
              <w:rPr>
                <w:rFonts w:cs="Arial"/>
              </w:rPr>
            </w:pPr>
          </w:p>
          <w:p w:rsidR="009B7609" w:rsidRPr="00941A45" w:rsidRDefault="009B7609" w:rsidP="00941A45">
            <w:pPr>
              <w:spacing w:before="60" w:after="60"/>
              <w:ind w:right="1593"/>
              <w:rPr>
                <w:rFonts w:cs="Arial"/>
              </w:rPr>
            </w:pPr>
            <w:r w:rsidRPr="00941A45">
              <w:rPr>
                <w:rFonts w:cs="Arial"/>
              </w:rPr>
              <w:t xml:space="preserve">Research and review of toolbox of intervention options post notification </w:t>
            </w:r>
          </w:p>
          <w:p w:rsidR="009B7609" w:rsidRPr="00941A45" w:rsidRDefault="009B7609" w:rsidP="00941A45">
            <w:pPr>
              <w:spacing w:before="60" w:after="60"/>
              <w:ind w:right="1593"/>
              <w:rPr>
                <w:rFonts w:cs="Arial"/>
              </w:rPr>
            </w:pPr>
          </w:p>
          <w:p w:rsidR="009B7609" w:rsidRPr="00941A45" w:rsidRDefault="009B7609" w:rsidP="00941A45">
            <w:pPr>
              <w:spacing w:before="60" w:after="60"/>
              <w:ind w:right="1593"/>
              <w:rPr>
                <w:rFonts w:cs="Arial"/>
              </w:rPr>
            </w:pPr>
            <w:r w:rsidRPr="00941A45">
              <w:rPr>
                <w:rFonts w:cs="Arial"/>
              </w:rPr>
              <w:t xml:space="preserve">Engage with AHPRA regulatory </w:t>
            </w:r>
            <w:r w:rsidR="00941A45" w:rsidRPr="00941A45">
              <w:rPr>
                <w:rFonts w:cs="Arial"/>
              </w:rPr>
              <w:t>risk-based</w:t>
            </w:r>
            <w:r w:rsidRPr="00941A45">
              <w:rPr>
                <w:rFonts w:cs="Arial"/>
              </w:rPr>
              <w:t xml:space="preserve"> research unit on an as needs basis</w:t>
            </w:r>
          </w:p>
        </w:tc>
      </w:tr>
      <w:tr w:rsidR="009B7609" w:rsidRPr="005E2555" w:rsidTr="00941A45">
        <w:trPr>
          <w:trHeight w:val="149"/>
        </w:trPr>
        <w:tc>
          <w:tcPr>
            <w:tcW w:w="2660"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t>5. Improved access to health care through our contribution to a more sustainable health workforce.</w:t>
            </w:r>
          </w:p>
        </w:tc>
        <w:tc>
          <w:tcPr>
            <w:tcW w:w="3969" w:type="dxa"/>
            <w:shd w:val="clear" w:color="auto" w:fill="D9D9D9" w:themeFill="background1" w:themeFillShade="D9"/>
          </w:tcPr>
          <w:p w:rsidR="009B7609" w:rsidRPr="00941A45" w:rsidRDefault="009B7609" w:rsidP="00941A45">
            <w:pPr>
              <w:pStyle w:val="Default"/>
              <w:spacing w:before="120" w:after="120" w:line="276" w:lineRule="auto"/>
              <w:rPr>
                <w:sz w:val="20"/>
                <w:szCs w:val="20"/>
              </w:rPr>
            </w:pPr>
            <w:r w:rsidRPr="00941A45">
              <w:rPr>
                <w:sz w:val="20"/>
                <w:szCs w:val="20"/>
              </w:rPr>
              <w:t>SV3: Improve customer experience</w:t>
            </w:r>
          </w:p>
          <w:p w:rsidR="009B7609" w:rsidRPr="00941A45" w:rsidRDefault="009B7609" w:rsidP="00941A45">
            <w:pPr>
              <w:pStyle w:val="Default"/>
              <w:spacing w:before="120" w:after="120" w:line="276" w:lineRule="auto"/>
              <w:rPr>
                <w:sz w:val="20"/>
                <w:szCs w:val="20"/>
              </w:rPr>
            </w:pPr>
            <w:r w:rsidRPr="00941A45">
              <w:rPr>
                <w:sz w:val="20"/>
                <w:szCs w:val="20"/>
              </w:rPr>
              <w:t>FE1: Reduce unnecessary regulatory burden</w:t>
            </w:r>
          </w:p>
          <w:p w:rsidR="009B7609" w:rsidRPr="00941A45" w:rsidRDefault="009B7609" w:rsidP="00941A45">
            <w:pPr>
              <w:pStyle w:val="Default"/>
              <w:spacing w:before="120" w:after="120" w:line="276" w:lineRule="auto"/>
              <w:rPr>
                <w:sz w:val="20"/>
                <w:szCs w:val="20"/>
              </w:rPr>
            </w:pPr>
            <w:r w:rsidRPr="00941A45">
              <w:rPr>
                <w:sz w:val="20"/>
                <w:szCs w:val="20"/>
              </w:rPr>
              <w:t>EP3: Enhance strategic partnerships</w:t>
            </w:r>
          </w:p>
          <w:p w:rsidR="009B7609" w:rsidRPr="00941A45" w:rsidRDefault="009B7609" w:rsidP="00941A45">
            <w:pPr>
              <w:pStyle w:val="Default"/>
              <w:spacing w:before="120" w:after="120" w:line="276" w:lineRule="auto"/>
              <w:rPr>
                <w:sz w:val="20"/>
                <w:szCs w:val="20"/>
              </w:rPr>
            </w:pPr>
            <w:r w:rsidRPr="00941A45">
              <w:rPr>
                <w:sz w:val="20"/>
                <w:szCs w:val="20"/>
              </w:rPr>
              <w:t>FE2: Increase shared efficiencies with our strategic partners</w:t>
            </w:r>
          </w:p>
          <w:p w:rsidR="009B7609" w:rsidRPr="00941A45" w:rsidRDefault="009B7609" w:rsidP="00941A45">
            <w:pPr>
              <w:pStyle w:val="Default"/>
              <w:spacing w:before="120" w:after="120" w:line="276" w:lineRule="auto"/>
              <w:rPr>
                <w:sz w:val="20"/>
                <w:szCs w:val="20"/>
              </w:rPr>
            </w:pPr>
            <w:r w:rsidRPr="00941A45">
              <w:rPr>
                <w:sz w:val="20"/>
                <w:szCs w:val="20"/>
              </w:rPr>
              <w:lastRenderedPageBreak/>
              <w:t>CC2: Increase knowledge of the external environment</w:t>
            </w:r>
          </w:p>
        </w:tc>
        <w:tc>
          <w:tcPr>
            <w:tcW w:w="7229" w:type="dxa"/>
            <w:shd w:val="clear" w:color="auto" w:fill="D9D9D9" w:themeFill="background1" w:themeFillShade="D9"/>
          </w:tcPr>
          <w:p w:rsidR="009B7609" w:rsidRPr="00941A45" w:rsidRDefault="009B7609" w:rsidP="00941A45">
            <w:pPr>
              <w:spacing w:before="60" w:after="60"/>
              <w:ind w:right="1593"/>
              <w:rPr>
                <w:rFonts w:cs="Arial"/>
              </w:rPr>
            </w:pPr>
            <w:r w:rsidRPr="00941A45">
              <w:rPr>
                <w:rFonts w:cs="Arial"/>
              </w:rPr>
              <w:lastRenderedPageBreak/>
              <w:t>Workforce distribution and contribute to workforce planning by the NRAS scheme</w:t>
            </w:r>
          </w:p>
          <w:p w:rsidR="009B7609" w:rsidRPr="00941A45" w:rsidRDefault="009B7609" w:rsidP="00941A45">
            <w:pPr>
              <w:spacing w:before="60" w:after="60"/>
              <w:ind w:right="1593"/>
              <w:rPr>
                <w:rFonts w:cs="Arial"/>
              </w:rPr>
            </w:pPr>
          </w:p>
          <w:p w:rsidR="009B7609" w:rsidRPr="00941A45" w:rsidRDefault="009B7609" w:rsidP="00941A45">
            <w:pPr>
              <w:spacing w:before="60" w:after="60"/>
              <w:ind w:right="1593"/>
              <w:rPr>
                <w:rFonts w:cs="Arial"/>
              </w:rPr>
            </w:pPr>
            <w:r w:rsidRPr="00941A45">
              <w:rPr>
                <w:rFonts w:cs="Arial"/>
              </w:rPr>
              <w:t>Cross-profession work on violence and self-harm</w:t>
            </w:r>
          </w:p>
        </w:tc>
      </w:tr>
    </w:tbl>
    <w:p w:rsidR="009B7609" w:rsidRPr="00000EEC" w:rsidRDefault="009B7609" w:rsidP="009B7609">
      <w:pPr>
        <w:rPr>
          <w:sz w:val="16"/>
          <w:szCs w:val="16"/>
        </w:rPr>
      </w:pPr>
    </w:p>
    <w:p w:rsidR="005A2855" w:rsidRDefault="005A2855">
      <w:pPr>
        <w:spacing w:before="11"/>
        <w:rPr>
          <w:rFonts w:ascii="Times New Roman" w:eastAsia="Times New Roman" w:hAnsi="Times New Roman" w:cs="Times New Roman"/>
          <w:sz w:val="21"/>
          <w:szCs w:val="21"/>
        </w:rPr>
      </w:pPr>
    </w:p>
    <w:p w:rsidR="009B7609" w:rsidRDefault="009B7609">
      <w:pPr>
        <w:pStyle w:val="BodyText"/>
        <w:spacing w:before="65"/>
        <w:rPr>
          <w:color w:val="5F5F61"/>
        </w:rPr>
      </w:pPr>
      <w:bookmarkStart w:id="3" w:name="Schedule_3:_Fees_payable_by_health_pract"/>
      <w:bookmarkEnd w:id="3"/>
    </w:p>
    <w:p w:rsidR="009B7609" w:rsidRDefault="009B7609">
      <w:pPr>
        <w:pStyle w:val="BodyText"/>
        <w:spacing w:before="65"/>
        <w:rPr>
          <w:color w:val="5F5F61"/>
        </w:rPr>
      </w:pPr>
    </w:p>
    <w:p w:rsidR="009B7609" w:rsidRDefault="009B7609">
      <w:pPr>
        <w:pStyle w:val="BodyText"/>
        <w:spacing w:before="65"/>
        <w:rPr>
          <w:color w:val="5F5F61"/>
        </w:rPr>
      </w:pPr>
    </w:p>
    <w:p w:rsidR="009B7609" w:rsidRDefault="009B7609">
      <w:pPr>
        <w:pStyle w:val="BodyText"/>
        <w:spacing w:before="65"/>
        <w:rPr>
          <w:color w:val="5F5F61"/>
        </w:rPr>
      </w:pPr>
    </w:p>
    <w:p w:rsidR="009B7609" w:rsidRDefault="009B7609">
      <w:pPr>
        <w:pStyle w:val="BodyText"/>
        <w:spacing w:before="65"/>
        <w:rPr>
          <w:color w:val="5F5F61"/>
        </w:rPr>
      </w:pPr>
    </w:p>
    <w:p w:rsidR="009B7609" w:rsidRDefault="009B7609">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41A45" w:rsidRDefault="00941A45">
      <w:pPr>
        <w:pStyle w:val="BodyText"/>
        <w:spacing w:before="65"/>
        <w:rPr>
          <w:color w:val="5F5F61"/>
        </w:rPr>
      </w:pPr>
    </w:p>
    <w:p w:rsidR="009B7609" w:rsidRPr="00363196" w:rsidRDefault="009B7609" w:rsidP="009B7609">
      <w:pPr>
        <w:pStyle w:val="AHPRADocumentsubheading"/>
      </w:pPr>
      <w:bookmarkStart w:id="4" w:name="Schedule_5:_Performance_management_frame"/>
      <w:bookmarkEnd w:id="4"/>
      <w:r w:rsidRPr="00363196">
        <w:t>Schedule 3: Fees payable by health practitioners</w:t>
      </w:r>
    </w:p>
    <w:p w:rsidR="009B7609" w:rsidRPr="00363196" w:rsidRDefault="009B7609" w:rsidP="009B7609">
      <w:pPr>
        <w:pStyle w:val="Default"/>
        <w:contextualSpacing/>
        <w:rPr>
          <w:b/>
          <w:color w:val="007DC3"/>
          <w:sz w:val="20"/>
        </w:rPr>
      </w:pPr>
      <w:r>
        <w:rPr>
          <w:b/>
          <w:color w:val="007DC3"/>
          <w:sz w:val="20"/>
        </w:rPr>
        <w:t>OSTEOPATHY</w:t>
      </w:r>
      <w:r w:rsidRPr="00363196">
        <w:rPr>
          <w:b/>
          <w:color w:val="007DC3"/>
          <w:sz w:val="20"/>
        </w:rPr>
        <w:t xml:space="preserve"> BOARD OF AUSTRALIA</w:t>
      </w:r>
    </w:p>
    <w:p w:rsidR="009B7609" w:rsidRDefault="009B7609" w:rsidP="009B7609">
      <w:pPr>
        <w:rPr>
          <w:rFonts w:cs="Arial"/>
          <w:sz w:val="16"/>
        </w:rPr>
      </w:pPr>
    </w:p>
    <w:p w:rsidR="009B7609" w:rsidRDefault="009B7609" w:rsidP="009B7609">
      <w:pPr>
        <w:rPr>
          <w:rFonts w:cs="Arial"/>
          <w:sz w:val="16"/>
        </w:rPr>
      </w:pPr>
    </w:p>
    <w:p w:rsidR="009B7609" w:rsidRPr="0020305B" w:rsidRDefault="009B7609" w:rsidP="009B7609">
      <w:pPr>
        <w:rPr>
          <w:rFonts w:cs="Arial"/>
          <w:sz w:val="16"/>
        </w:rPr>
        <w:sectPr w:rsidR="009B7609" w:rsidRPr="0020305B" w:rsidSect="00941A45">
          <w:pgSz w:w="16840" w:h="11900" w:orient="landscape"/>
          <w:pgMar w:top="1440" w:right="1440" w:bottom="1440" w:left="1440" w:header="284" w:footer="686" w:gutter="0"/>
          <w:cols w:space="708"/>
          <w:titlePg/>
          <w:docGrid w:linePitch="326"/>
        </w:sectPr>
      </w:pPr>
      <w:r>
        <w:rPr>
          <w:rFonts w:cs="Arial"/>
          <w:noProof/>
          <w:sz w:val="16"/>
          <w:lang w:val="en-AU" w:eastAsia="en-AU"/>
        </w:rPr>
        <w:drawing>
          <wp:inline distT="0" distB="0" distL="0" distR="0">
            <wp:extent cx="8864600" cy="392854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864600" cy="3928541"/>
                    </a:xfrm>
                    <a:prstGeom prst="rect">
                      <a:avLst/>
                    </a:prstGeom>
                    <a:noFill/>
                    <a:ln w="9525">
                      <a:noFill/>
                      <a:miter lim="800000"/>
                      <a:headEnd/>
                      <a:tailEnd/>
                    </a:ln>
                  </pic:spPr>
                </pic:pic>
              </a:graphicData>
            </a:graphic>
          </wp:inline>
        </w:drawing>
      </w:r>
    </w:p>
    <w:p w:rsidR="009B7609" w:rsidRDefault="009B7609" w:rsidP="009B7609">
      <w:pPr>
        <w:rPr>
          <w:rFonts w:cs="Arial"/>
          <w:color w:val="5F6062"/>
          <w:sz w:val="28"/>
          <w:szCs w:val="52"/>
        </w:rPr>
      </w:pPr>
      <w:r>
        <w:br w:type="page"/>
      </w:r>
    </w:p>
    <w:p w:rsidR="009B7609" w:rsidRDefault="009B7609" w:rsidP="009B7609">
      <w:pPr>
        <w:pStyle w:val="AHPRADocumentsubheading"/>
        <w:sectPr w:rsidR="009B7609" w:rsidSect="00941A45">
          <w:type w:val="continuous"/>
          <w:pgSz w:w="16840" w:h="11900" w:orient="landscape"/>
          <w:pgMar w:top="1440" w:right="1440" w:bottom="1440" w:left="1440" w:header="284" w:footer="686" w:gutter="0"/>
          <w:cols w:space="708"/>
          <w:titlePg/>
          <w:docGrid w:linePitch="326"/>
        </w:sectPr>
      </w:pPr>
    </w:p>
    <w:p w:rsidR="009B7609" w:rsidRDefault="009B7609" w:rsidP="009B7609">
      <w:pPr>
        <w:pStyle w:val="AHPRADocumentsubheading"/>
      </w:pPr>
      <w:r>
        <w:lastRenderedPageBreak/>
        <w:t>Schedule 4: Summary of National Board’s annual budget</w:t>
      </w:r>
    </w:p>
    <w:p w:rsidR="009B7609" w:rsidRDefault="009B7609" w:rsidP="009B7609">
      <w:pPr>
        <w:pStyle w:val="AHPRAbody"/>
        <w:rPr>
          <w:b/>
          <w:color w:val="007DC3"/>
        </w:rPr>
      </w:pPr>
      <w:r>
        <w:rPr>
          <w:b/>
          <w:color w:val="007DC3"/>
        </w:rPr>
        <w:t>OSTEOPATHY BOARD OF AUSTRALIA</w:t>
      </w:r>
    </w:p>
    <w:p w:rsidR="009B7609" w:rsidRPr="007C7B7F" w:rsidRDefault="009B7609" w:rsidP="009B7609">
      <w:pPr>
        <w:pStyle w:val="AHPRASubheadinglevel2"/>
      </w:pPr>
      <w:r>
        <w:t>Income and expenditure budget and notes</w:t>
      </w:r>
    </w:p>
    <w:p w:rsidR="009B7609" w:rsidRPr="00AB21F7" w:rsidRDefault="009B7609" w:rsidP="009B7609">
      <w:pPr>
        <w:pStyle w:val="AHPRAbody"/>
        <w:spacing w:after="400"/>
        <w:rPr>
          <w:b/>
        </w:rPr>
      </w:pPr>
      <w:r w:rsidRPr="00AB21F7">
        <w:rPr>
          <w:b/>
        </w:rPr>
        <w:t>SUMMARY BUDGET 2018/19</w:t>
      </w:r>
    </w:p>
    <w:tbl>
      <w:tblPr>
        <w:tblW w:w="9027" w:type="dxa"/>
        <w:tblInd w:w="94" w:type="dxa"/>
        <w:tblLook w:val="04A0" w:firstRow="1" w:lastRow="0" w:firstColumn="1" w:lastColumn="0" w:noHBand="0" w:noVBand="1"/>
      </w:tblPr>
      <w:tblGrid>
        <w:gridCol w:w="6264"/>
        <w:gridCol w:w="2763"/>
      </w:tblGrid>
      <w:tr w:rsidR="009B7609" w:rsidRPr="00AB21F7" w:rsidTr="00941A45">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9B7609" w:rsidRPr="00AB21F7" w:rsidRDefault="009B7609" w:rsidP="00941A45">
            <w:pPr>
              <w:jc w:val="center"/>
              <w:rPr>
                <w:rFonts w:ascii="Arial" w:eastAsia="Times New Roman" w:hAnsi="Arial" w:cs="Arial"/>
                <w:b/>
                <w:bCs/>
                <w:color w:val="000000"/>
                <w:sz w:val="20"/>
                <w:szCs w:val="20"/>
                <w:lang w:eastAsia="en-AU"/>
              </w:rPr>
            </w:pPr>
            <w:r w:rsidRPr="00AB21F7">
              <w:rPr>
                <w:rFonts w:ascii="Arial" w:eastAsia="Times New Roman" w:hAnsi="Arial"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9B7609" w:rsidRPr="00AB21F7" w:rsidRDefault="009B7609" w:rsidP="00941A45">
            <w:pPr>
              <w:jc w:val="center"/>
              <w:rPr>
                <w:rFonts w:ascii="Arial" w:eastAsia="Times New Roman" w:hAnsi="Arial" w:cs="Arial"/>
                <w:b/>
                <w:bCs/>
                <w:color w:val="000000"/>
                <w:sz w:val="20"/>
                <w:szCs w:val="20"/>
                <w:lang w:eastAsia="en-AU"/>
              </w:rPr>
            </w:pPr>
            <w:r w:rsidRPr="00AB21F7">
              <w:rPr>
                <w:rFonts w:ascii="Arial" w:eastAsia="Times New Roman" w:hAnsi="Arial" w:cs="Arial"/>
                <w:b/>
                <w:bCs/>
                <w:color w:val="000000"/>
                <w:sz w:val="20"/>
                <w:szCs w:val="20"/>
                <w:lang w:eastAsia="en-AU"/>
              </w:rPr>
              <w:t>$</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b/>
                <w:bCs/>
                <w:color w:val="000000"/>
                <w:sz w:val="20"/>
                <w:szCs w:val="20"/>
                <w:lang w:eastAsia="en-AU"/>
              </w:rPr>
            </w:pPr>
            <w:r w:rsidRPr="00AB21F7">
              <w:rPr>
                <w:rFonts w:ascii="Arial" w:eastAsia="Times New Roman" w:hAnsi="Arial"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auto" w:fill="D8D8D8"/>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 </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777,900</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80,200</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42,992</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4,000</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Other</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400</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b/>
                <w:bCs/>
                <w:color w:val="000000"/>
                <w:sz w:val="20"/>
                <w:szCs w:val="20"/>
                <w:lang w:eastAsia="en-AU"/>
              </w:rPr>
            </w:pPr>
            <w:r w:rsidRPr="00AB21F7">
              <w:rPr>
                <w:rFonts w:ascii="Arial" w:eastAsia="Times New Roman" w:hAnsi="Arial"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eastAsia="Times New Roman" w:hAnsi="Arial" w:cs="Arial"/>
                <w:b/>
                <w:color w:val="000000"/>
                <w:sz w:val="20"/>
                <w:szCs w:val="20"/>
                <w:lang w:eastAsia="en-AU"/>
              </w:rPr>
            </w:pPr>
            <w:r w:rsidRPr="00AB21F7">
              <w:rPr>
                <w:rFonts w:ascii="Arial" w:eastAsia="Times New Roman" w:hAnsi="Arial" w:cs="Arial"/>
                <w:b/>
                <w:color w:val="000000"/>
                <w:sz w:val="20"/>
                <w:szCs w:val="20"/>
                <w:lang w:eastAsia="en-AU"/>
              </w:rPr>
              <w:t>905,492</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b/>
                <w:bCs/>
                <w:color w:val="000000"/>
                <w:sz w:val="20"/>
                <w:szCs w:val="20"/>
                <w:lang w:eastAsia="en-AU"/>
              </w:rPr>
            </w:pPr>
            <w:r w:rsidRPr="00AB21F7">
              <w:rPr>
                <w:rFonts w:ascii="Arial" w:eastAsia="Times New Roman" w:hAnsi="Arial"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eastAsia="Times New Roman" w:hAnsi="Arial" w:cs="Arial"/>
                <w:color w:val="000000"/>
                <w:sz w:val="20"/>
                <w:szCs w:val="20"/>
                <w:lang w:eastAsia="en-AU"/>
              </w:rPr>
            </w:pP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318,836</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40,000</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181,000</w:t>
            </w:r>
          </w:p>
        </w:tc>
      </w:tr>
      <w:tr w:rsidR="009B7609" w:rsidRPr="00AB21F7" w:rsidTr="00941A45">
        <w:trPr>
          <w:trHeight w:val="508"/>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9,760</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70,650</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color w:val="000000"/>
                <w:sz w:val="20"/>
                <w:szCs w:val="20"/>
                <w:lang w:eastAsia="en-AU"/>
              </w:rPr>
            </w:pPr>
            <w:r w:rsidRPr="00AB21F7">
              <w:rPr>
                <w:rFonts w:ascii="Arial" w:eastAsia="Times New Roman" w:hAnsi="Arial"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color w:val="000000"/>
                <w:sz w:val="20"/>
                <w:szCs w:val="20"/>
              </w:rPr>
            </w:pPr>
            <w:r w:rsidRPr="00AB21F7">
              <w:rPr>
                <w:rFonts w:ascii="Arial" w:hAnsi="Arial" w:cs="Arial"/>
                <w:color w:val="000000"/>
                <w:sz w:val="20"/>
                <w:szCs w:val="20"/>
              </w:rPr>
              <w:t>314,660</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b/>
                <w:bCs/>
                <w:color w:val="000000"/>
                <w:sz w:val="20"/>
                <w:szCs w:val="20"/>
                <w:lang w:eastAsia="en-AU"/>
              </w:rPr>
            </w:pPr>
            <w:r w:rsidRPr="00AB21F7">
              <w:rPr>
                <w:rFonts w:ascii="Arial" w:eastAsia="Times New Roman" w:hAnsi="Arial"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b/>
                <w:bCs/>
                <w:color w:val="000000"/>
                <w:sz w:val="20"/>
                <w:szCs w:val="20"/>
              </w:rPr>
            </w:pPr>
            <w:r w:rsidRPr="00AB21F7">
              <w:rPr>
                <w:rFonts w:ascii="Arial" w:hAnsi="Arial" w:cs="Arial"/>
                <w:b/>
                <w:bCs/>
                <w:color w:val="000000"/>
                <w:sz w:val="20"/>
                <w:szCs w:val="20"/>
              </w:rPr>
              <w:t>934,906</w:t>
            </w:r>
          </w:p>
        </w:tc>
      </w:tr>
      <w:tr w:rsidR="009B7609" w:rsidRPr="00AB21F7" w:rsidTr="00941A45">
        <w:trPr>
          <w:trHeight w:val="499"/>
        </w:trPr>
        <w:tc>
          <w:tcPr>
            <w:tcW w:w="6264" w:type="dxa"/>
            <w:tcBorders>
              <w:top w:val="nil"/>
              <w:left w:val="single" w:sz="4" w:space="0" w:color="auto"/>
              <w:bottom w:val="single" w:sz="4" w:space="0" w:color="auto"/>
              <w:right w:val="single" w:sz="4" w:space="0" w:color="auto"/>
            </w:tcBorders>
            <w:vAlign w:val="center"/>
            <w:hideMark/>
          </w:tcPr>
          <w:p w:rsidR="009B7609" w:rsidRPr="00AB21F7" w:rsidRDefault="009B7609" w:rsidP="00941A45">
            <w:pPr>
              <w:rPr>
                <w:rFonts w:ascii="Arial" w:eastAsia="Times New Roman" w:hAnsi="Arial" w:cs="Arial"/>
                <w:b/>
                <w:bCs/>
                <w:color w:val="000000"/>
                <w:sz w:val="20"/>
                <w:szCs w:val="20"/>
                <w:lang w:eastAsia="en-AU"/>
              </w:rPr>
            </w:pPr>
            <w:r w:rsidRPr="00AB21F7">
              <w:rPr>
                <w:rFonts w:ascii="Arial" w:eastAsia="Times New Roman" w:hAnsi="Arial" w:cs="Arial"/>
                <w:b/>
                <w:bCs/>
                <w:color w:val="000000"/>
                <w:sz w:val="20"/>
                <w:szCs w:val="20"/>
                <w:lang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9B7609" w:rsidRPr="00AB21F7" w:rsidRDefault="009B7609" w:rsidP="00941A45">
            <w:pPr>
              <w:jc w:val="right"/>
              <w:rPr>
                <w:rFonts w:ascii="Arial" w:hAnsi="Arial" w:cs="Arial"/>
                <w:b/>
                <w:bCs/>
                <w:color w:val="000000"/>
                <w:sz w:val="20"/>
                <w:szCs w:val="20"/>
              </w:rPr>
            </w:pPr>
            <w:r w:rsidRPr="00AB21F7">
              <w:rPr>
                <w:rFonts w:ascii="Arial" w:hAnsi="Arial" w:cs="Arial"/>
                <w:b/>
                <w:bCs/>
                <w:color w:val="000000"/>
                <w:sz w:val="20"/>
                <w:szCs w:val="20"/>
              </w:rPr>
              <w:t>(29,414)</w:t>
            </w:r>
          </w:p>
        </w:tc>
      </w:tr>
    </w:tbl>
    <w:p w:rsidR="009B7609" w:rsidRPr="00AB21F7" w:rsidRDefault="009B7609" w:rsidP="009B7609">
      <w:pPr>
        <w:rPr>
          <w:rFonts w:ascii="Arial" w:hAnsi="Arial" w:cs="Arial"/>
          <w:sz w:val="20"/>
        </w:rPr>
      </w:pPr>
    </w:p>
    <w:p w:rsidR="009B7609" w:rsidRPr="00AB21F7" w:rsidRDefault="009B7609" w:rsidP="009B7609">
      <w:pPr>
        <w:rPr>
          <w:rFonts w:ascii="Arial" w:hAnsi="Arial" w:cs="Arial"/>
          <w:b/>
          <w:sz w:val="20"/>
        </w:rPr>
      </w:pPr>
      <w:r w:rsidRPr="00AB21F7">
        <w:rPr>
          <w:rFonts w:ascii="Arial" w:hAnsi="Arial" w:cs="Arial"/>
          <w:b/>
        </w:rPr>
        <w:br w:type="page"/>
      </w:r>
    </w:p>
    <w:p w:rsidR="009B7609" w:rsidRPr="00AB21F7" w:rsidRDefault="009B7609" w:rsidP="009B7609">
      <w:pPr>
        <w:pStyle w:val="AHPRAbody"/>
        <w:spacing w:after="240"/>
        <w:rPr>
          <w:b/>
        </w:rPr>
      </w:pPr>
      <w:r w:rsidRPr="00AB21F7">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1742"/>
        <w:gridCol w:w="7151"/>
        <w:gridCol w:w="67"/>
      </w:tblGrid>
      <w:tr w:rsidR="009B7609" w:rsidRPr="00AB21F7" w:rsidTr="00941A45">
        <w:tc>
          <w:tcPr>
            <w:tcW w:w="18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B7609" w:rsidRPr="00AB21F7" w:rsidRDefault="009B7609" w:rsidP="009B7609">
            <w:pPr>
              <w:pStyle w:val="ListParagraph"/>
              <w:widowControl/>
              <w:numPr>
                <w:ilvl w:val="0"/>
                <w:numId w:val="19"/>
              </w:numPr>
              <w:spacing w:before="120" w:after="120"/>
              <w:contextualSpacing/>
              <w:rPr>
                <w:rFonts w:ascii="Arial" w:hAnsi="Arial" w:cs="Arial"/>
                <w:color w:val="000000"/>
                <w:sz w:val="20"/>
                <w:szCs w:val="20"/>
              </w:rPr>
            </w:pPr>
            <w:r w:rsidRPr="00AB21F7">
              <w:rPr>
                <w:rFonts w:ascii="Arial" w:hAnsi="Arial" w:cs="Arial"/>
                <w:color w:val="000000"/>
                <w:sz w:val="20"/>
                <w:szCs w:val="20"/>
              </w:rPr>
              <w:t>Registrant numbers</w:t>
            </w:r>
          </w:p>
        </w:tc>
        <w:tc>
          <w:tcPr>
            <w:tcW w:w="7151"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9B7609" w:rsidRPr="00AB21F7" w:rsidRDefault="009B7609" w:rsidP="00941A45">
            <w:pPr>
              <w:tabs>
                <w:tab w:val="right" w:pos="5987"/>
              </w:tabs>
              <w:spacing w:before="120" w:after="120"/>
              <w:rPr>
                <w:rFonts w:ascii="Arial" w:hAnsi="Arial" w:cs="Arial"/>
                <w:color w:val="000000" w:themeColor="text1"/>
                <w:sz w:val="20"/>
                <w:szCs w:val="20"/>
              </w:rPr>
            </w:pPr>
            <w:r w:rsidRPr="00AB21F7">
              <w:rPr>
                <w:rFonts w:ascii="Arial" w:hAnsi="Arial" w:cs="Arial"/>
                <w:color w:val="000000" w:themeColor="text1"/>
                <w:sz w:val="20"/>
                <w:szCs w:val="20"/>
              </w:rPr>
              <w:t>The budget for registration income is based on the following:</w:t>
            </w:r>
          </w:p>
          <w:p w:rsidR="009B7609" w:rsidRPr="00AB21F7" w:rsidRDefault="009B7609" w:rsidP="009B7609">
            <w:pPr>
              <w:pStyle w:val="ListParagraph"/>
              <w:widowControl/>
              <w:numPr>
                <w:ilvl w:val="0"/>
                <w:numId w:val="18"/>
              </w:numPr>
              <w:tabs>
                <w:tab w:val="right" w:leader="dot" w:pos="6180"/>
              </w:tabs>
              <w:spacing w:before="120" w:after="120"/>
              <w:ind w:left="170" w:hanging="170"/>
              <w:contextualSpacing/>
              <w:rPr>
                <w:rFonts w:ascii="Arial" w:hAnsi="Arial" w:cs="Arial"/>
                <w:sz w:val="20"/>
                <w:szCs w:val="20"/>
              </w:rPr>
            </w:pPr>
            <w:r w:rsidRPr="00AB21F7">
              <w:rPr>
                <w:rFonts w:ascii="Arial" w:hAnsi="Arial" w:cs="Arial"/>
                <w:color w:val="000000" w:themeColor="text1"/>
                <w:sz w:val="20"/>
                <w:szCs w:val="20"/>
                <w:shd w:val="clear" w:color="auto" w:fill="FFFFFF" w:themeFill="background1"/>
              </w:rPr>
              <w:t xml:space="preserve">Number of registrants invited to renew at next renewal </w:t>
            </w:r>
            <w:r w:rsidRPr="00AB21F7">
              <w:rPr>
                <w:rFonts w:ascii="Arial" w:hAnsi="Arial" w:cs="Arial"/>
                <w:sz w:val="20"/>
                <w:szCs w:val="20"/>
                <w:shd w:val="clear" w:color="auto" w:fill="FFFFFF" w:themeFill="background1"/>
              </w:rPr>
              <w:t>period:</w:t>
            </w:r>
            <w:r w:rsidRPr="00AB21F7">
              <w:rPr>
                <w:rFonts w:ascii="Arial" w:hAnsi="Arial" w:cs="Arial"/>
                <w:sz w:val="20"/>
                <w:szCs w:val="20"/>
                <w:shd w:val="clear" w:color="auto" w:fill="FFFFFF" w:themeFill="background1"/>
              </w:rPr>
              <w:tab/>
              <w:t>2,395</w:t>
            </w:r>
          </w:p>
          <w:p w:rsidR="009B7609" w:rsidRPr="00AB21F7" w:rsidRDefault="009B7609" w:rsidP="009B7609">
            <w:pPr>
              <w:pStyle w:val="ListParagraph"/>
              <w:widowControl/>
              <w:numPr>
                <w:ilvl w:val="0"/>
                <w:numId w:val="18"/>
              </w:numPr>
              <w:tabs>
                <w:tab w:val="right" w:leader="dot" w:pos="6180"/>
              </w:tabs>
              <w:spacing w:before="120" w:after="120"/>
              <w:ind w:left="170" w:hanging="170"/>
              <w:contextualSpacing/>
              <w:rPr>
                <w:rFonts w:ascii="Arial" w:hAnsi="Arial" w:cs="Arial"/>
                <w:sz w:val="20"/>
                <w:szCs w:val="20"/>
              </w:rPr>
            </w:pPr>
            <w:r w:rsidRPr="00AB21F7">
              <w:rPr>
                <w:rFonts w:ascii="Arial" w:hAnsi="Arial" w:cs="Arial"/>
                <w:sz w:val="20"/>
                <w:szCs w:val="20"/>
                <w:shd w:val="clear" w:color="auto" w:fill="FFFFFF" w:themeFill="background1"/>
              </w:rPr>
              <w:t>Lapse rate of renewals:</w:t>
            </w:r>
            <w:r w:rsidRPr="00AB21F7">
              <w:rPr>
                <w:rFonts w:ascii="Arial" w:hAnsi="Arial" w:cs="Arial"/>
                <w:sz w:val="20"/>
                <w:szCs w:val="20"/>
                <w:shd w:val="clear" w:color="auto" w:fill="FFFFFF" w:themeFill="background1"/>
              </w:rPr>
              <w:tab/>
              <w:t>3.32</w:t>
            </w:r>
            <w:r w:rsidRPr="00AB21F7">
              <w:rPr>
                <w:rFonts w:ascii="Arial" w:hAnsi="Arial" w:cs="Arial"/>
                <w:sz w:val="20"/>
                <w:szCs w:val="20"/>
              </w:rPr>
              <w:t>%</w:t>
            </w:r>
          </w:p>
        </w:tc>
        <w:tc>
          <w:tcPr>
            <w:tcW w:w="67" w:type="dxa"/>
            <w:tcBorders>
              <w:top w:val="nil"/>
              <w:left w:val="nil"/>
              <w:bottom w:val="single" w:sz="4" w:space="0" w:color="auto"/>
              <w:right w:val="nil"/>
            </w:tcBorders>
            <w:vAlign w:val="center"/>
            <w:hideMark/>
          </w:tcPr>
          <w:p w:rsidR="009B7609" w:rsidRPr="00AB21F7" w:rsidRDefault="009B7609" w:rsidP="00941A45">
            <w:pPr>
              <w:rPr>
                <w:rFonts w:ascii="Arial" w:hAnsi="Arial" w:cs="Arial"/>
                <w:sz w:val="20"/>
                <w:szCs w:val="20"/>
              </w:rPr>
            </w:pPr>
          </w:p>
        </w:tc>
      </w:tr>
      <w:tr w:rsidR="009B7609" w:rsidRPr="00AB21F7" w:rsidTr="00941A45">
        <w:tc>
          <w:tcPr>
            <w:tcW w:w="1809"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B7609" w:rsidRPr="00AB21F7" w:rsidRDefault="009B7609" w:rsidP="009B7609">
            <w:pPr>
              <w:pStyle w:val="ListParagraph"/>
              <w:widowControl/>
              <w:numPr>
                <w:ilvl w:val="0"/>
                <w:numId w:val="19"/>
              </w:numPr>
              <w:spacing w:before="120" w:after="120"/>
              <w:ind w:left="318" w:hanging="284"/>
              <w:contextualSpacing/>
              <w:rPr>
                <w:rFonts w:ascii="Arial" w:hAnsi="Arial" w:cs="Arial"/>
                <w:sz w:val="20"/>
              </w:rPr>
            </w:pPr>
            <w:r w:rsidRPr="00AB21F7">
              <w:rPr>
                <w:rFonts w:ascii="Arial" w:hAnsi="Arial" w:cs="Arial"/>
                <w:color w:val="000000"/>
                <w:sz w:val="20"/>
                <w:szCs w:val="20"/>
              </w:rPr>
              <w:t>Board and committee expenses</w:t>
            </w:r>
          </w:p>
        </w:tc>
        <w:tc>
          <w:tcPr>
            <w:tcW w:w="7151" w:type="dxa"/>
            <w:tcBorders>
              <w:top w:val="nil"/>
              <w:left w:val="single" w:sz="4" w:space="0" w:color="auto"/>
              <w:bottom w:val="single" w:sz="4" w:space="0" w:color="auto"/>
              <w:right w:val="nil"/>
            </w:tcBorders>
            <w:tcMar>
              <w:top w:w="0" w:type="dxa"/>
              <w:left w:w="108" w:type="dxa"/>
              <w:bottom w:w="0" w:type="dxa"/>
              <w:right w:w="108" w:type="dxa"/>
            </w:tcMar>
            <w:hideMark/>
          </w:tcPr>
          <w:p w:rsidR="009B7609" w:rsidRPr="00AB21F7" w:rsidRDefault="00AB21F7" w:rsidP="00AB21F7">
            <w:pPr>
              <w:rPr>
                <w:rFonts w:ascii="Arial" w:hAnsi="Arial" w:cs="Arial"/>
                <w:sz w:val="20"/>
                <w:szCs w:val="20"/>
              </w:rPr>
            </w:pPr>
            <w:r>
              <w:rPr>
                <w:rFonts w:ascii="Arial" w:hAnsi="Arial" w:cs="Arial"/>
                <w:sz w:val="20"/>
                <w:szCs w:val="20"/>
              </w:rPr>
              <w:t xml:space="preserve">This covers the meeting costs of the National Boards, including </w:t>
            </w:r>
            <w:r w:rsidR="009B7609" w:rsidRPr="00AB21F7">
              <w:rPr>
                <w:rFonts w:ascii="Arial" w:hAnsi="Arial" w:cs="Arial"/>
                <w:sz w:val="20"/>
                <w:szCs w:val="20"/>
              </w:rPr>
              <w:t>its committees, which have the delegated authority to make decisions about individual registered health practitioners.</w:t>
            </w:r>
          </w:p>
          <w:p w:rsidR="009B7609" w:rsidRPr="00AB21F7" w:rsidRDefault="009B7609" w:rsidP="00941A45">
            <w:pPr>
              <w:spacing w:before="120" w:after="120"/>
              <w:rPr>
                <w:rFonts w:ascii="Arial" w:hAnsi="Arial" w:cs="Arial"/>
                <w:sz w:val="20"/>
              </w:rPr>
            </w:pPr>
            <w:r w:rsidRPr="00AB21F7">
              <w:rPr>
                <w:rFonts w:ascii="Arial" w:hAnsi="Arial" w:cs="Arial"/>
                <w:sz w:val="20"/>
                <w:szCs w:val="20"/>
              </w:rPr>
              <w:t>Costs include sitting fees, travel and accommodation while attending meetings for the Board.</w:t>
            </w:r>
          </w:p>
        </w:tc>
        <w:tc>
          <w:tcPr>
            <w:tcW w:w="67" w:type="dxa"/>
            <w:tcBorders>
              <w:top w:val="nil"/>
              <w:left w:val="nil"/>
              <w:bottom w:val="single" w:sz="4" w:space="0" w:color="auto"/>
              <w:right w:val="nil"/>
            </w:tcBorders>
            <w:vAlign w:val="center"/>
            <w:hideMark/>
          </w:tcPr>
          <w:p w:rsidR="009B7609" w:rsidRPr="00AB21F7" w:rsidRDefault="009B7609" w:rsidP="00941A45">
            <w:pPr>
              <w:rPr>
                <w:rFonts w:ascii="Arial" w:hAnsi="Arial" w:cs="Arial"/>
                <w:sz w:val="20"/>
              </w:rPr>
            </w:pPr>
            <w:r w:rsidRPr="00AB21F7">
              <w:rPr>
                <w:rFonts w:ascii="Arial" w:hAnsi="Arial" w:cs="Arial"/>
                <w:sz w:val="20"/>
              </w:rPr>
              <w:t> </w:t>
            </w:r>
          </w:p>
        </w:tc>
      </w:tr>
      <w:tr w:rsidR="009B7609" w:rsidRPr="00AB21F7" w:rsidTr="00941A45">
        <w:tc>
          <w:tcPr>
            <w:tcW w:w="18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B7609" w:rsidRPr="00AB21F7" w:rsidRDefault="009B7609" w:rsidP="009B7609">
            <w:pPr>
              <w:pStyle w:val="ListParagraph"/>
              <w:widowControl/>
              <w:numPr>
                <w:ilvl w:val="0"/>
                <w:numId w:val="19"/>
              </w:numPr>
              <w:spacing w:before="120" w:after="120"/>
              <w:ind w:left="318"/>
              <w:contextualSpacing/>
              <w:rPr>
                <w:rFonts w:ascii="Arial" w:hAnsi="Arial" w:cs="Arial"/>
                <w:sz w:val="20"/>
              </w:rPr>
            </w:pPr>
            <w:r w:rsidRPr="00AB21F7">
              <w:rPr>
                <w:rFonts w:ascii="Arial" w:hAnsi="Arial" w:cs="Arial"/>
                <w:color w:val="000000"/>
                <w:sz w:val="20"/>
                <w:szCs w:val="20"/>
              </w:rPr>
              <w:t>Legal, tribunal costs, and expert advice</w:t>
            </w:r>
          </w:p>
        </w:tc>
        <w:tc>
          <w:tcPr>
            <w:tcW w:w="7151"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9B7609" w:rsidRPr="00AB21F7" w:rsidRDefault="009B7609" w:rsidP="00941A45">
            <w:pPr>
              <w:spacing w:before="120" w:after="120"/>
              <w:rPr>
                <w:rFonts w:ascii="Arial" w:hAnsi="Arial" w:cs="Arial"/>
                <w:sz w:val="20"/>
              </w:rPr>
            </w:pPr>
            <w:r w:rsidRPr="00AB21F7">
              <w:rPr>
                <w:rFonts w:ascii="Arial" w:hAnsi="Arial" w:cs="Arial"/>
                <w:sz w:val="20"/>
                <w:szCs w:val="20"/>
              </w:rPr>
              <w:t xml:space="preserve">These costs are incurred in the management of complaints against practitioners (notifications).  The costs do not include the significant Board and committee costs, including sitting fees, related to notifications. These are included in ‘2’ above. </w:t>
            </w:r>
          </w:p>
          <w:p w:rsidR="009B7609" w:rsidRPr="00AB21F7" w:rsidRDefault="009B7609" w:rsidP="00941A45">
            <w:pPr>
              <w:spacing w:before="120" w:after="120"/>
              <w:rPr>
                <w:rFonts w:ascii="Arial" w:hAnsi="Arial" w:cs="Arial"/>
                <w:sz w:val="20"/>
              </w:rPr>
            </w:pPr>
            <w:r w:rsidRPr="00AB21F7">
              <w:rPr>
                <w:rFonts w:ascii="Arial" w:hAnsi="Arial" w:cs="Arial"/>
                <w:sz w:val="20"/>
                <w:szCs w:val="20"/>
              </w:rPr>
              <w:t>Also not included are the material staff costs in each state and territory office relating directly to notifications.  These are included in “indirect expenditure” below.</w:t>
            </w:r>
          </w:p>
        </w:tc>
        <w:tc>
          <w:tcPr>
            <w:tcW w:w="67" w:type="dxa"/>
            <w:tcBorders>
              <w:top w:val="single" w:sz="4" w:space="0" w:color="auto"/>
              <w:left w:val="nil"/>
              <w:bottom w:val="single" w:sz="4" w:space="0" w:color="auto"/>
              <w:right w:val="nil"/>
            </w:tcBorders>
            <w:vAlign w:val="center"/>
            <w:hideMark/>
          </w:tcPr>
          <w:p w:rsidR="009B7609" w:rsidRPr="00AB21F7" w:rsidRDefault="009B7609" w:rsidP="00941A45">
            <w:pPr>
              <w:rPr>
                <w:rFonts w:ascii="Arial" w:hAnsi="Arial" w:cs="Arial"/>
                <w:sz w:val="20"/>
              </w:rPr>
            </w:pPr>
            <w:r w:rsidRPr="00AB21F7">
              <w:rPr>
                <w:rFonts w:ascii="Arial" w:hAnsi="Arial" w:cs="Arial"/>
                <w:sz w:val="20"/>
              </w:rPr>
              <w:t> </w:t>
            </w:r>
          </w:p>
        </w:tc>
      </w:tr>
      <w:tr w:rsidR="009B7609" w:rsidRPr="00AB21F7" w:rsidTr="00941A45">
        <w:tc>
          <w:tcPr>
            <w:tcW w:w="18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B7609" w:rsidRPr="00AB21F7" w:rsidRDefault="009B7609" w:rsidP="009B7609">
            <w:pPr>
              <w:pStyle w:val="ListParagraph"/>
              <w:widowControl/>
              <w:numPr>
                <w:ilvl w:val="0"/>
                <w:numId w:val="19"/>
              </w:numPr>
              <w:spacing w:before="120" w:after="120"/>
              <w:ind w:left="318"/>
              <w:contextualSpacing/>
              <w:rPr>
                <w:rFonts w:ascii="Arial" w:hAnsi="Arial" w:cs="Arial"/>
                <w:sz w:val="20"/>
              </w:rPr>
            </w:pPr>
            <w:r w:rsidRPr="00AB21F7">
              <w:rPr>
                <w:rFonts w:ascii="Arial" w:hAnsi="Arial" w:cs="Arial"/>
                <w:color w:val="000000"/>
                <w:sz w:val="20"/>
                <w:szCs w:val="20"/>
              </w:rPr>
              <w:t>Accreditation</w:t>
            </w:r>
          </w:p>
        </w:tc>
        <w:tc>
          <w:tcPr>
            <w:tcW w:w="7151"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9B7609" w:rsidRPr="00AB21F7" w:rsidRDefault="009B7609" w:rsidP="00941A45">
            <w:pPr>
              <w:autoSpaceDE w:val="0"/>
              <w:autoSpaceDN w:val="0"/>
              <w:spacing w:before="120" w:after="120"/>
              <w:rPr>
                <w:rFonts w:ascii="Arial" w:hAnsi="Arial" w:cs="Arial"/>
                <w:sz w:val="20"/>
              </w:rPr>
            </w:pPr>
            <w:r w:rsidRPr="00AB21F7">
              <w:rPr>
                <w:rFonts w:ascii="Arial" w:hAnsi="Arial" w:cs="Arial"/>
                <w:sz w:val="20"/>
                <w:szCs w:val="20"/>
              </w:rPr>
              <w:t>Accreditation expenses include the costs of funding provided to the Australasian Osteopathic Accreditation Council is for accreditation functions and related projects.</w:t>
            </w:r>
          </w:p>
        </w:tc>
        <w:tc>
          <w:tcPr>
            <w:tcW w:w="67" w:type="dxa"/>
            <w:tcBorders>
              <w:top w:val="single" w:sz="4" w:space="0" w:color="auto"/>
              <w:left w:val="nil"/>
              <w:bottom w:val="single" w:sz="4" w:space="0" w:color="auto"/>
              <w:right w:val="nil"/>
            </w:tcBorders>
            <w:vAlign w:val="center"/>
            <w:hideMark/>
          </w:tcPr>
          <w:p w:rsidR="009B7609" w:rsidRPr="00AB21F7" w:rsidRDefault="009B7609" w:rsidP="00941A45">
            <w:pPr>
              <w:rPr>
                <w:rFonts w:ascii="Arial" w:hAnsi="Arial" w:cs="Arial"/>
                <w:sz w:val="20"/>
              </w:rPr>
            </w:pPr>
            <w:r w:rsidRPr="00AB21F7">
              <w:rPr>
                <w:rFonts w:ascii="Arial" w:hAnsi="Arial" w:cs="Arial"/>
                <w:sz w:val="20"/>
              </w:rPr>
              <w:t> </w:t>
            </w:r>
          </w:p>
        </w:tc>
      </w:tr>
      <w:tr w:rsidR="009B7609" w:rsidRPr="00AB21F7" w:rsidTr="00941A45">
        <w:tc>
          <w:tcPr>
            <w:tcW w:w="18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B7609" w:rsidRPr="00AB21F7" w:rsidRDefault="009B7609" w:rsidP="009B7609">
            <w:pPr>
              <w:pStyle w:val="ListParagraph"/>
              <w:widowControl/>
              <w:numPr>
                <w:ilvl w:val="0"/>
                <w:numId w:val="19"/>
              </w:numPr>
              <w:spacing w:before="120" w:after="120"/>
              <w:ind w:left="318"/>
              <w:contextualSpacing/>
              <w:rPr>
                <w:rFonts w:ascii="Arial" w:hAnsi="Arial" w:cs="Arial"/>
                <w:sz w:val="20"/>
              </w:rPr>
            </w:pPr>
            <w:r w:rsidRPr="00AB21F7">
              <w:rPr>
                <w:rFonts w:ascii="Arial" w:hAnsi="Arial" w:cs="Arial"/>
                <w:color w:val="000000"/>
                <w:sz w:val="20"/>
                <w:szCs w:val="20"/>
              </w:rPr>
              <w:t>Other direct expenditure</w:t>
            </w:r>
          </w:p>
        </w:tc>
        <w:tc>
          <w:tcPr>
            <w:tcW w:w="7151"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9B7609" w:rsidRPr="00AB21F7" w:rsidRDefault="009B7609" w:rsidP="00941A45">
            <w:pPr>
              <w:spacing w:before="80" w:after="80"/>
              <w:rPr>
                <w:rFonts w:ascii="Arial" w:hAnsi="Arial" w:cs="Arial"/>
                <w:sz w:val="20"/>
              </w:rPr>
            </w:pPr>
            <w:r w:rsidRPr="00AB21F7">
              <w:rPr>
                <w:rFonts w:ascii="Arial" w:hAnsi="Arial" w:cs="Arial"/>
                <w:sz w:val="20"/>
                <w:szCs w:val="20"/>
              </w:rPr>
              <w:t xml:space="preserve">Costs associated with the Board’s work on registration standards, policies and guidelines. </w:t>
            </w:r>
          </w:p>
          <w:p w:rsidR="009B7609" w:rsidRPr="00AB21F7" w:rsidRDefault="009B7609" w:rsidP="00941A45">
            <w:pPr>
              <w:spacing w:before="80" w:after="80"/>
              <w:rPr>
                <w:rFonts w:ascii="Arial" w:hAnsi="Arial" w:cs="Arial"/>
                <w:sz w:val="20"/>
              </w:rPr>
            </w:pPr>
            <w:r w:rsidRPr="00AB21F7">
              <w:rPr>
                <w:rFonts w:ascii="Arial" w:hAnsi="Arial" w:cs="Arial"/>
                <w:sz w:val="20"/>
                <w:szCs w:val="20"/>
              </w:rPr>
              <w:t>This includes the following activities:</w:t>
            </w:r>
          </w:p>
          <w:p w:rsidR="009B7609" w:rsidRPr="00AB21F7" w:rsidRDefault="009B7609" w:rsidP="009B7609">
            <w:pPr>
              <w:pStyle w:val="ListParagraph"/>
              <w:widowControl/>
              <w:numPr>
                <w:ilvl w:val="0"/>
                <w:numId w:val="17"/>
              </w:numPr>
              <w:spacing w:before="80" w:after="80"/>
              <w:ind w:left="357" w:hanging="357"/>
              <w:contextualSpacing/>
              <w:rPr>
                <w:rFonts w:ascii="Arial" w:hAnsi="Arial" w:cs="Arial"/>
                <w:sz w:val="20"/>
              </w:rPr>
            </w:pPr>
            <w:r w:rsidRPr="00AB21F7">
              <w:rPr>
                <w:rFonts w:ascii="Arial" w:hAnsi="Arial" w:cs="Arial"/>
                <w:sz w:val="20"/>
                <w:szCs w:val="20"/>
              </w:rPr>
              <w:t>costs involved in consultation with the community and the profession</w:t>
            </w:r>
          </w:p>
          <w:p w:rsidR="009B7609" w:rsidRPr="00AB21F7" w:rsidRDefault="009B7609" w:rsidP="009B7609">
            <w:pPr>
              <w:pStyle w:val="ListParagraph"/>
              <w:widowControl/>
              <w:numPr>
                <w:ilvl w:val="0"/>
                <w:numId w:val="17"/>
              </w:numPr>
              <w:spacing w:before="80" w:after="80"/>
              <w:ind w:left="357" w:hanging="357"/>
              <w:contextualSpacing/>
              <w:rPr>
                <w:rFonts w:ascii="Arial" w:hAnsi="Arial" w:cs="Arial"/>
                <w:sz w:val="20"/>
              </w:rPr>
            </w:pPr>
            <w:r w:rsidRPr="00AB21F7">
              <w:rPr>
                <w:rFonts w:ascii="Arial" w:hAnsi="Arial" w:cs="Arial"/>
                <w:sz w:val="20"/>
                <w:szCs w:val="20"/>
              </w:rPr>
              <w:t>engagement of consultants necessary to support the Board’s work</w:t>
            </w:r>
          </w:p>
          <w:p w:rsidR="009B7609" w:rsidRPr="00AB21F7" w:rsidRDefault="009B7609" w:rsidP="009B7609">
            <w:pPr>
              <w:pStyle w:val="ListParagraph"/>
              <w:widowControl/>
              <w:numPr>
                <w:ilvl w:val="0"/>
                <w:numId w:val="17"/>
              </w:numPr>
              <w:spacing w:before="80" w:after="80"/>
              <w:ind w:left="357" w:hanging="357"/>
              <w:contextualSpacing/>
              <w:rPr>
                <w:rFonts w:ascii="Arial" w:hAnsi="Arial" w:cs="Arial"/>
                <w:sz w:val="20"/>
              </w:rPr>
            </w:pPr>
            <w:r w:rsidRPr="00AB21F7">
              <w:rPr>
                <w:rFonts w:ascii="Arial" w:hAnsi="Arial" w:cs="Arial"/>
                <w:sz w:val="20"/>
                <w:szCs w:val="20"/>
              </w:rPr>
              <w:t xml:space="preserve">publication of material to guide the profession, such as the Board’s newsletter </w:t>
            </w:r>
          </w:p>
          <w:p w:rsidR="009B7609" w:rsidRPr="00AB21F7" w:rsidRDefault="009B7609" w:rsidP="009B7609">
            <w:pPr>
              <w:pStyle w:val="ListParagraph"/>
              <w:widowControl/>
              <w:numPr>
                <w:ilvl w:val="0"/>
                <w:numId w:val="17"/>
              </w:numPr>
              <w:spacing w:before="120" w:after="120"/>
              <w:ind w:left="357" w:hanging="357"/>
              <w:contextualSpacing/>
              <w:rPr>
                <w:rFonts w:ascii="Arial" w:hAnsi="Arial" w:cs="Arial"/>
                <w:sz w:val="20"/>
              </w:rPr>
            </w:pPr>
            <w:r w:rsidRPr="00AB21F7">
              <w:rPr>
                <w:rFonts w:ascii="Arial" w:hAnsi="Arial" w:cs="Arial"/>
                <w:sz w:val="20"/>
                <w:szCs w:val="20"/>
              </w:rPr>
              <w:t>Board member professional development</w:t>
            </w:r>
          </w:p>
          <w:p w:rsidR="009B7609" w:rsidRPr="00AB21F7" w:rsidRDefault="009B7609" w:rsidP="009B7609">
            <w:pPr>
              <w:pStyle w:val="ListParagraph"/>
              <w:widowControl/>
              <w:numPr>
                <w:ilvl w:val="0"/>
                <w:numId w:val="17"/>
              </w:numPr>
              <w:spacing w:before="120" w:after="120"/>
              <w:ind w:left="357" w:hanging="357"/>
              <w:contextualSpacing/>
              <w:rPr>
                <w:rFonts w:ascii="Arial" w:hAnsi="Arial" w:cs="Arial"/>
                <w:sz w:val="20"/>
              </w:rPr>
            </w:pPr>
            <w:r w:rsidRPr="00AB21F7">
              <w:rPr>
                <w:rFonts w:ascii="Arial" w:hAnsi="Arial" w:cs="Arial"/>
                <w:sz w:val="20"/>
                <w:szCs w:val="20"/>
              </w:rPr>
              <w:t>policy development and projects</w:t>
            </w:r>
          </w:p>
        </w:tc>
        <w:tc>
          <w:tcPr>
            <w:tcW w:w="67" w:type="dxa"/>
            <w:tcBorders>
              <w:top w:val="single" w:sz="4" w:space="0" w:color="auto"/>
              <w:left w:val="nil"/>
              <w:bottom w:val="single" w:sz="4" w:space="0" w:color="auto"/>
              <w:right w:val="nil"/>
            </w:tcBorders>
            <w:vAlign w:val="center"/>
            <w:hideMark/>
          </w:tcPr>
          <w:p w:rsidR="009B7609" w:rsidRPr="00AB21F7" w:rsidRDefault="009B7609" w:rsidP="00941A45">
            <w:pPr>
              <w:rPr>
                <w:rFonts w:ascii="Arial" w:hAnsi="Arial" w:cs="Arial"/>
                <w:sz w:val="20"/>
              </w:rPr>
            </w:pPr>
            <w:r w:rsidRPr="00AB21F7">
              <w:rPr>
                <w:rFonts w:ascii="Arial" w:hAnsi="Arial" w:cs="Arial"/>
                <w:sz w:val="20"/>
              </w:rPr>
              <w:t> </w:t>
            </w:r>
          </w:p>
        </w:tc>
      </w:tr>
      <w:tr w:rsidR="009B7609" w:rsidRPr="00AB21F7" w:rsidTr="00941A45">
        <w:tc>
          <w:tcPr>
            <w:tcW w:w="67" w:type="dxa"/>
            <w:tcBorders>
              <w:top w:val="single" w:sz="4" w:space="0" w:color="auto"/>
              <w:left w:val="nil"/>
              <w:bottom w:val="single" w:sz="4" w:space="0" w:color="auto"/>
              <w:right w:val="nil"/>
            </w:tcBorders>
            <w:vAlign w:val="center"/>
            <w:hideMark/>
          </w:tcPr>
          <w:p w:rsidR="009B7609" w:rsidRPr="00AB21F7" w:rsidRDefault="009B7609" w:rsidP="00941A45">
            <w:pPr>
              <w:rPr>
                <w:rFonts w:ascii="Arial" w:hAnsi="Arial" w:cs="Arial"/>
                <w:sz w:val="20"/>
                <w:szCs w:val="20"/>
              </w:rPr>
            </w:pPr>
          </w:p>
        </w:tc>
        <w:tc>
          <w:tcPr>
            <w:tcW w:w="1742" w:type="dxa"/>
            <w:tcBorders>
              <w:top w:val="single" w:sz="4" w:space="0" w:color="auto"/>
              <w:left w:val="nil"/>
              <w:bottom w:val="single" w:sz="4" w:space="0" w:color="auto"/>
              <w:right w:val="single" w:sz="4" w:space="0" w:color="auto"/>
            </w:tcBorders>
            <w:hideMark/>
          </w:tcPr>
          <w:p w:rsidR="009B7609" w:rsidRPr="00AB21F7" w:rsidRDefault="009B7609" w:rsidP="00941A45">
            <w:pPr>
              <w:pStyle w:val="ListParagraph"/>
              <w:ind w:left="357"/>
              <w:rPr>
                <w:rFonts w:ascii="Arial" w:eastAsia="Times New Roman" w:hAnsi="Arial" w:cs="Arial"/>
                <w:sz w:val="10"/>
                <w:szCs w:val="20"/>
              </w:rPr>
            </w:pPr>
          </w:p>
          <w:p w:rsidR="009B7609" w:rsidRPr="00AB21F7" w:rsidRDefault="009B7609" w:rsidP="009B7609">
            <w:pPr>
              <w:pStyle w:val="ListParagraph"/>
              <w:widowControl/>
              <w:numPr>
                <w:ilvl w:val="0"/>
                <w:numId w:val="19"/>
              </w:numPr>
              <w:spacing w:after="200"/>
              <w:ind w:left="357" w:hanging="357"/>
              <w:contextualSpacing/>
              <w:rPr>
                <w:rFonts w:ascii="Arial" w:eastAsia="Times New Roman" w:hAnsi="Arial" w:cs="Arial"/>
                <w:sz w:val="20"/>
                <w:szCs w:val="20"/>
              </w:rPr>
            </w:pPr>
            <w:r w:rsidRPr="00AB21F7">
              <w:rPr>
                <w:rFonts w:ascii="Arial" w:hAnsi="Arial" w:cs="Arial"/>
                <w:color w:val="000000"/>
                <w:sz w:val="20"/>
                <w:szCs w:val="20"/>
              </w:rPr>
              <w:t>Indirect expenditure</w:t>
            </w:r>
          </w:p>
        </w:tc>
        <w:tc>
          <w:tcPr>
            <w:tcW w:w="7151" w:type="dxa"/>
            <w:tcBorders>
              <w:top w:val="single" w:sz="4" w:space="0" w:color="auto"/>
              <w:left w:val="single" w:sz="4" w:space="0" w:color="auto"/>
              <w:bottom w:val="single" w:sz="4" w:space="0" w:color="auto"/>
              <w:right w:val="nil"/>
            </w:tcBorders>
            <w:hideMark/>
          </w:tcPr>
          <w:p w:rsidR="009B7609" w:rsidRPr="00AB21F7" w:rsidRDefault="009B7609" w:rsidP="00941A45">
            <w:pPr>
              <w:spacing w:before="120" w:after="120"/>
              <w:ind w:left="113"/>
              <w:rPr>
                <w:rFonts w:ascii="Arial" w:hAnsi="Arial" w:cs="Arial"/>
                <w:sz w:val="20"/>
                <w:szCs w:val="20"/>
                <w:lang w:eastAsia="en-AU"/>
              </w:rPr>
            </w:pPr>
            <w:r w:rsidRPr="00AB21F7">
              <w:rPr>
                <w:rFonts w:ascii="Arial" w:hAnsi="Arial" w:cs="Arial"/>
                <w:color w:val="000000" w:themeColor="text1"/>
                <w:sz w:val="20"/>
                <w:szCs w:val="20"/>
                <w:lang w:eastAsia="en-AU"/>
              </w:rPr>
              <w:t xml:space="preserve">The </w:t>
            </w:r>
            <w:r w:rsidRPr="00AB21F7">
              <w:rPr>
                <w:rFonts w:ascii="Arial" w:hAnsi="Arial" w:cs="Arial"/>
                <w:sz w:val="20"/>
                <w:szCs w:val="20"/>
                <w:lang w:eastAsia="en-AU"/>
              </w:rPr>
              <w:t xml:space="preserve">proportion of AHPRA’s business as usual costs allocated to the Board as indirect costs is 0.099%. </w:t>
            </w:r>
            <w:r w:rsidRPr="00AB21F7">
              <w:rPr>
                <w:rFonts w:ascii="Arial" w:hAnsi="Arial" w:cs="Arial"/>
                <w:sz w:val="20"/>
                <w:szCs w:val="20"/>
              </w:rPr>
              <w:t>This reflects the implementation of the Paramedicine profession partway through 2018-19. The full year percentage reduction in allocated costs will be higher.</w:t>
            </w:r>
            <w:r w:rsidRPr="00AB21F7">
              <w:rPr>
                <w:rFonts w:ascii="Arial" w:hAnsi="Arial" w:cs="Arial"/>
                <w:sz w:val="20"/>
                <w:szCs w:val="20"/>
                <w:lang w:eastAsia="en-AU"/>
              </w:rPr>
              <w:t xml:space="preserve"> The percentage allocation for the Board in 2017/18 was 0.10%.</w:t>
            </w:r>
          </w:p>
          <w:p w:rsidR="009B7609" w:rsidRPr="00AB21F7" w:rsidRDefault="009B7609" w:rsidP="00941A45">
            <w:pPr>
              <w:spacing w:before="120" w:after="120"/>
              <w:ind w:left="113"/>
              <w:rPr>
                <w:rFonts w:ascii="Arial" w:hAnsi="Arial" w:cs="Arial"/>
                <w:sz w:val="20"/>
                <w:szCs w:val="20"/>
                <w:lang w:eastAsia="en-AU"/>
              </w:rPr>
            </w:pPr>
            <w:r w:rsidRPr="00AB21F7">
              <w:rPr>
                <w:rFonts w:ascii="Arial" w:hAnsi="Arial" w:cs="Arial"/>
                <w:sz w:val="20"/>
                <w:szCs w:val="20"/>
                <w:lang w:eastAsia="en-AU"/>
              </w:rPr>
              <w:t>In addition, indirect costs include a one off cost of implementing a major information systems replacement program.</w:t>
            </w:r>
          </w:p>
          <w:p w:rsidR="009B7609" w:rsidRPr="00AB21F7" w:rsidRDefault="009B7609" w:rsidP="00941A45">
            <w:pPr>
              <w:spacing w:before="120" w:after="120"/>
              <w:ind w:left="113"/>
              <w:rPr>
                <w:rFonts w:ascii="Arial" w:hAnsi="Arial" w:cs="Arial"/>
                <w:color w:val="000000" w:themeColor="text1"/>
                <w:sz w:val="20"/>
                <w:szCs w:val="20"/>
                <w:lang w:eastAsia="en-AU"/>
              </w:rPr>
            </w:pPr>
            <w:r w:rsidRPr="00AB21F7">
              <w:rPr>
                <w:rFonts w:ascii="Arial" w:hAnsi="Arial"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9B7609" w:rsidRPr="00AB21F7" w:rsidRDefault="009B7609" w:rsidP="00941A45">
            <w:pPr>
              <w:spacing w:before="120" w:after="120"/>
              <w:ind w:left="113"/>
              <w:rPr>
                <w:rFonts w:ascii="Arial" w:hAnsi="Arial" w:cs="Arial"/>
                <w:color w:val="000000" w:themeColor="text1"/>
                <w:sz w:val="20"/>
                <w:szCs w:val="20"/>
                <w:lang w:eastAsia="en-AU"/>
              </w:rPr>
            </w:pPr>
            <w:r w:rsidRPr="00AB21F7">
              <w:rPr>
                <w:rFonts w:ascii="Arial" w:hAnsi="Arial"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9B7609" w:rsidRPr="00AB21F7" w:rsidRDefault="009B7609" w:rsidP="00941A45">
            <w:pPr>
              <w:tabs>
                <w:tab w:val="right" w:leader="dot" w:pos="6237"/>
              </w:tabs>
              <w:spacing w:before="120" w:after="120"/>
              <w:ind w:left="113"/>
              <w:rPr>
                <w:rFonts w:ascii="Arial" w:hAnsi="Arial" w:cs="Arial"/>
                <w:color w:val="000000" w:themeColor="text1"/>
                <w:sz w:val="20"/>
                <w:szCs w:val="20"/>
                <w:lang w:eastAsia="en-AU"/>
              </w:rPr>
            </w:pPr>
            <w:r w:rsidRPr="00AB21F7">
              <w:rPr>
                <w:rFonts w:ascii="Arial" w:hAnsi="Arial" w:cs="Arial"/>
                <w:color w:val="000000" w:themeColor="text1"/>
                <w:sz w:val="20"/>
                <w:szCs w:val="20"/>
                <w:lang w:eastAsia="en-AU"/>
              </w:rPr>
              <w:t>The 2018/19 AHPRA business plan sets out AHPRA’s objectives for 2018/19 and how they will be achieved.</w:t>
            </w:r>
          </w:p>
        </w:tc>
        <w:tc>
          <w:tcPr>
            <w:tcW w:w="67" w:type="dxa"/>
            <w:tcBorders>
              <w:top w:val="single" w:sz="4" w:space="0" w:color="auto"/>
              <w:left w:val="nil"/>
              <w:bottom w:val="single" w:sz="4" w:space="0" w:color="auto"/>
              <w:right w:val="nil"/>
            </w:tcBorders>
            <w:vAlign w:val="center"/>
            <w:hideMark/>
          </w:tcPr>
          <w:p w:rsidR="009B7609" w:rsidRPr="00AB21F7" w:rsidRDefault="009B7609" w:rsidP="00941A45">
            <w:pPr>
              <w:rPr>
                <w:rFonts w:ascii="Arial" w:hAnsi="Arial" w:cs="Arial"/>
                <w:sz w:val="20"/>
                <w:szCs w:val="20"/>
              </w:rPr>
            </w:pPr>
          </w:p>
        </w:tc>
      </w:tr>
    </w:tbl>
    <w:p w:rsidR="009B7609" w:rsidRPr="00AB21F7" w:rsidRDefault="009B7609" w:rsidP="009B7609">
      <w:pPr>
        <w:rPr>
          <w:rFonts w:ascii="Arial" w:hAnsi="Arial" w:cs="Arial"/>
          <w:b/>
          <w:sz w:val="20"/>
        </w:rPr>
      </w:pPr>
    </w:p>
    <w:p w:rsidR="009B7609" w:rsidRDefault="009B7609">
      <w:pPr>
        <w:pStyle w:val="BodyText"/>
        <w:rPr>
          <w:color w:val="5F6062"/>
        </w:rPr>
      </w:pPr>
    </w:p>
    <w:p w:rsidR="009B7609" w:rsidRDefault="009B7609">
      <w:pPr>
        <w:pStyle w:val="BodyText"/>
        <w:rPr>
          <w:color w:val="5F6062"/>
        </w:rPr>
      </w:pPr>
    </w:p>
    <w:p w:rsidR="009B7609" w:rsidRDefault="009B7609">
      <w:pPr>
        <w:pStyle w:val="BodyText"/>
        <w:rPr>
          <w:color w:val="5F6062"/>
        </w:rPr>
      </w:pPr>
    </w:p>
    <w:p w:rsidR="009B7609" w:rsidRDefault="009B7609">
      <w:pPr>
        <w:pStyle w:val="BodyText"/>
        <w:rPr>
          <w:color w:val="5F6062"/>
        </w:rPr>
      </w:pPr>
    </w:p>
    <w:p w:rsidR="005A2855" w:rsidRDefault="00805DE8">
      <w:pPr>
        <w:pStyle w:val="BodyText"/>
        <w:rPr>
          <w:rFonts w:cs="Arial"/>
        </w:rPr>
      </w:pPr>
      <w:r>
        <w:rPr>
          <w:color w:val="5F6062"/>
        </w:rPr>
        <w:t>Schedule 5: Performance management</w:t>
      </w:r>
      <w:r>
        <w:rPr>
          <w:color w:val="5F6062"/>
          <w:spacing w:val="-23"/>
        </w:rPr>
        <w:t xml:space="preserve"> </w:t>
      </w:r>
      <w:r>
        <w:rPr>
          <w:color w:val="5F6062"/>
        </w:rPr>
        <w:t>framework</w:t>
      </w:r>
    </w:p>
    <w:p w:rsidR="005A2855" w:rsidRDefault="00805DE8">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5A2855" w:rsidRDefault="005A2855">
      <w:pPr>
        <w:spacing w:before="4"/>
        <w:rPr>
          <w:rFonts w:ascii="Arial" w:eastAsia="Arial" w:hAnsi="Arial" w:cs="Arial"/>
          <w:b/>
          <w:bCs/>
          <w:sz w:val="17"/>
          <w:szCs w:val="17"/>
        </w:rPr>
      </w:pPr>
    </w:p>
    <w:p w:rsidR="005A2855" w:rsidRDefault="00805DE8">
      <w:pPr>
        <w:ind w:left="100"/>
        <w:rPr>
          <w:rFonts w:ascii="Arial" w:eastAsia="Arial" w:hAnsi="Arial" w:cs="Arial"/>
          <w:sz w:val="20"/>
          <w:szCs w:val="20"/>
        </w:rPr>
      </w:pPr>
      <w:r>
        <w:rPr>
          <w:rFonts w:ascii="Arial"/>
          <w:sz w:val="20"/>
        </w:rPr>
        <w:t>National Boards will receive quarterly AHPRA performance report and volume and trend reports</w:t>
      </w:r>
      <w:r>
        <w:rPr>
          <w:rFonts w:ascii="Arial"/>
          <w:spacing w:val="-32"/>
          <w:sz w:val="20"/>
        </w:rPr>
        <w:t xml:space="preserve"> </w:t>
      </w:r>
      <w:r>
        <w:rPr>
          <w:rFonts w:ascii="Arial"/>
          <w:sz w:val="20"/>
        </w:rPr>
        <w:t>in</w:t>
      </w:r>
      <w:r>
        <w:rPr>
          <w:rFonts w:ascii="Arial"/>
          <w:w w:val="99"/>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11"/>
          <w:sz w:val="20"/>
        </w:rPr>
        <w:t xml:space="preserve"> </w:t>
      </w:r>
      <w:r>
        <w:rPr>
          <w:rFonts w:ascii="Arial"/>
          <w:sz w:val="20"/>
        </w:rPr>
        <w:t>Framework.</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9"/>
          <w:sz w:val="20"/>
        </w:rPr>
        <w:t xml:space="preserve"> </w:t>
      </w:r>
      <w:r>
        <w:rPr>
          <w:rFonts w:ascii="Arial"/>
          <w:sz w:val="20"/>
        </w:rPr>
        <w:t>Framework</w:t>
      </w:r>
      <w:r>
        <w:rPr>
          <w:rFonts w:ascii="Arial"/>
          <w:spacing w:val="-8"/>
          <w:sz w:val="20"/>
        </w:rPr>
        <w:t xml:space="preserve"> </w:t>
      </w:r>
      <w:r>
        <w:rPr>
          <w:rFonts w:ascii="Arial"/>
          <w:sz w:val="20"/>
        </w:rPr>
        <w:t>will</w:t>
      </w:r>
      <w:r>
        <w:rPr>
          <w:rFonts w:ascii="Arial"/>
          <w:spacing w:val="-1"/>
          <w:w w:val="99"/>
          <w:sz w:val="20"/>
        </w:rPr>
        <w:t xml:space="preserve"> </w:t>
      </w:r>
      <w:r>
        <w:rPr>
          <w:rFonts w:ascii="Arial"/>
          <w:sz w:val="20"/>
        </w:rPr>
        <w:t>be reviewed in</w:t>
      </w:r>
      <w:r>
        <w:rPr>
          <w:rFonts w:ascii="Arial"/>
          <w:spacing w:val="-23"/>
          <w:sz w:val="20"/>
        </w:rPr>
        <w:t xml:space="preserve"> </w:t>
      </w:r>
      <w:r>
        <w:rPr>
          <w:rFonts w:ascii="Arial"/>
          <w:sz w:val="20"/>
        </w:rPr>
        <w:t>201</w:t>
      </w:r>
      <w:r w:rsidR="009B7609">
        <w:rPr>
          <w:rFonts w:ascii="Arial"/>
          <w:sz w:val="20"/>
        </w:rPr>
        <w:t>8/19.</w:t>
      </w:r>
    </w:p>
    <w:sectPr w:rsidR="005A2855" w:rsidSect="005A2855">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56C" w:rsidRDefault="003A056C" w:rsidP="00974A6A">
      <w:r>
        <w:separator/>
      </w:r>
    </w:p>
  </w:endnote>
  <w:endnote w:type="continuationSeparator" w:id="0">
    <w:p w:rsidR="003A056C" w:rsidRDefault="003A056C" w:rsidP="0097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A45" w:rsidRPr="00607E8C" w:rsidRDefault="00941A45" w:rsidP="00941A45">
    <w:pPr>
      <w:pStyle w:val="AHPRAfooter"/>
      <w:rPr>
        <w:szCs w:val="18"/>
      </w:rPr>
    </w:pPr>
    <w:r>
      <w:rPr>
        <w:szCs w:val="18"/>
      </w:rPr>
      <w:t>Health Profession Agreement 2016-20</w:t>
    </w:r>
  </w:p>
  <w:p w:rsidR="00941A45" w:rsidRPr="00607E8C" w:rsidRDefault="003A056C" w:rsidP="00941A45">
    <w:pPr>
      <w:pStyle w:val="AHPRAfooter"/>
      <w:jc w:val="right"/>
      <w:rPr>
        <w:szCs w:val="18"/>
      </w:rPr>
    </w:pPr>
    <w:sdt>
      <w:sdtPr>
        <w:rPr>
          <w:szCs w:val="18"/>
        </w:rPr>
        <w:id w:val="8374046"/>
        <w:docPartObj>
          <w:docPartGallery w:val="Page Numbers (Top of Page)"/>
          <w:docPartUnique/>
        </w:docPartObj>
      </w:sdtPr>
      <w:sdtEndPr/>
      <w:sdtContent>
        <w:r w:rsidR="00941A45" w:rsidRPr="00607E8C">
          <w:rPr>
            <w:szCs w:val="18"/>
          </w:rPr>
          <w:t xml:space="preserve">Page </w:t>
        </w:r>
        <w:r w:rsidR="00941A45" w:rsidRPr="00607E8C">
          <w:rPr>
            <w:szCs w:val="18"/>
          </w:rPr>
          <w:fldChar w:fldCharType="begin"/>
        </w:r>
        <w:r w:rsidR="00941A45" w:rsidRPr="00607E8C">
          <w:rPr>
            <w:szCs w:val="18"/>
          </w:rPr>
          <w:instrText xml:space="preserve"> PAGE </w:instrText>
        </w:r>
        <w:r w:rsidR="00941A45" w:rsidRPr="00607E8C">
          <w:rPr>
            <w:szCs w:val="18"/>
          </w:rPr>
          <w:fldChar w:fldCharType="separate"/>
        </w:r>
        <w:r w:rsidR="00121D0F">
          <w:rPr>
            <w:noProof/>
            <w:szCs w:val="18"/>
          </w:rPr>
          <w:t>21</w:t>
        </w:r>
        <w:r w:rsidR="00941A45" w:rsidRPr="00607E8C">
          <w:rPr>
            <w:szCs w:val="18"/>
          </w:rPr>
          <w:fldChar w:fldCharType="end"/>
        </w:r>
        <w:r w:rsidR="00941A45" w:rsidRPr="00607E8C">
          <w:rPr>
            <w:szCs w:val="18"/>
          </w:rPr>
          <w:t xml:space="preserve"> of </w:t>
        </w:r>
        <w:r w:rsidR="00941A45" w:rsidRPr="00607E8C">
          <w:rPr>
            <w:szCs w:val="18"/>
          </w:rPr>
          <w:fldChar w:fldCharType="begin"/>
        </w:r>
        <w:r w:rsidR="00941A45" w:rsidRPr="00607E8C">
          <w:rPr>
            <w:szCs w:val="18"/>
          </w:rPr>
          <w:instrText xml:space="preserve"> NUMPAGES  </w:instrText>
        </w:r>
        <w:r w:rsidR="00941A45" w:rsidRPr="00607E8C">
          <w:rPr>
            <w:szCs w:val="18"/>
          </w:rPr>
          <w:fldChar w:fldCharType="separate"/>
        </w:r>
        <w:r w:rsidR="00121D0F">
          <w:rPr>
            <w:noProof/>
            <w:szCs w:val="18"/>
          </w:rPr>
          <w:t>22</w:t>
        </w:r>
        <w:r w:rsidR="00941A45" w:rsidRPr="00607E8C">
          <w:rPr>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A45" w:rsidRPr="00E77E23" w:rsidRDefault="00941A45" w:rsidP="00941A45">
    <w:pPr>
      <w:pStyle w:val="AHPRAfirstpagefooter"/>
      <w:spacing w:before="120"/>
    </w:pPr>
    <w:r w:rsidRPr="00E77E23">
      <w:t xml:space="preserve">Australian </w:t>
    </w:r>
    <w:r w:rsidRPr="00E77E23">
      <w:rPr>
        <w:color w:val="007DC3"/>
      </w:rPr>
      <w:t>Health Practitioner</w:t>
    </w:r>
    <w:r w:rsidRPr="00E77E23">
      <w:t xml:space="preserve"> Regulation Agency</w:t>
    </w:r>
  </w:p>
  <w:p w:rsidR="00941A45" w:rsidRPr="00C76025" w:rsidRDefault="00941A45" w:rsidP="00941A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56C" w:rsidRDefault="003A056C" w:rsidP="00974A6A">
      <w:r>
        <w:separator/>
      </w:r>
    </w:p>
  </w:footnote>
  <w:footnote w:type="continuationSeparator" w:id="0">
    <w:p w:rsidR="003A056C" w:rsidRDefault="003A056C" w:rsidP="0097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A45" w:rsidRPr="00814288" w:rsidRDefault="00941A45" w:rsidP="00941A45">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extent cx="2292350" cy="1432560"/>
          <wp:effectExtent l="0" t="0" r="0" b="0"/>
          <wp:docPr id="2" name="Picture 1" descr="Osteopath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E7C"/>
    <w:multiLevelType w:val="hybridMultilevel"/>
    <w:tmpl w:val="4A9CB9E6"/>
    <w:lvl w:ilvl="0" w:tplc="4BB6D644">
      <w:start w:val="1"/>
      <w:numFmt w:val="bullet"/>
      <w:lvlText w:val=""/>
      <w:lvlJc w:val="left"/>
      <w:pPr>
        <w:ind w:left="419" w:hanging="284"/>
      </w:pPr>
      <w:rPr>
        <w:rFonts w:ascii="Symbol" w:eastAsia="Symbol" w:hAnsi="Symbol" w:hint="default"/>
        <w:w w:val="99"/>
        <w:sz w:val="20"/>
        <w:szCs w:val="20"/>
      </w:rPr>
    </w:lvl>
    <w:lvl w:ilvl="1" w:tplc="7E96BF44">
      <w:start w:val="1"/>
      <w:numFmt w:val="bullet"/>
      <w:lvlText w:val="•"/>
      <w:lvlJc w:val="left"/>
      <w:pPr>
        <w:ind w:left="1114" w:hanging="284"/>
      </w:pPr>
      <w:rPr>
        <w:rFonts w:hint="default"/>
      </w:rPr>
    </w:lvl>
    <w:lvl w:ilvl="2" w:tplc="27009F14">
      <w:start w:val="1"/>
      <w:numFmt w:val="bullet"/>
      <w:lvlText w:val="•"/>
      <w:lvlJc w:val="left"/>
      <w:pPr>
        <w:ind w:left="1808" w:hanging="284"/>
      </w:pPr>
      <w:rPr>
        <w:rFonts w:hint="default"/>
      </w:rPr>
    </w:lvl>
    <w:lvl w:ilvl="3" w:tplc="40E6337E">
      <w:start w:val="1"/>
      <w:numFmt w:val="bullet"/>
      <w:lvlText w:val="•"/>
      <w:lvlJc w:val="left"/>
      <w:pPr>
        <w:ind w:left="2502" w:hanging="284"/>
      </w:pPr>
      <w:rPr>
        <w:rFonts w:hint="default"/>
      </w:rPr>
    </w:lvl>
    <w:lvl w:ilvl="4" w:tplc="DA6C122A">
      <w:start w:val="1"/>
      <w:numFmt w:val="bullet"/>
      <w:lvlText w:val="•"/>
      <w:lvlJc w:val="left"/>
      <w:pPr>
        <w:ind w:left="3196" w:hanging="284"/>
      </w:pPr>
      <w:rPr>
        <w:rFonts w:hint="default"/>
      </w:rPr>
    </w:lvl>
    <w:lvl w:ilvl="5" w:tplc="535A0B4C">
      <w:start w:val="1"/>
      <w:numFmt w:val="bullet"/>
      <w:lvlText w:val="•"/>
      <w:lvlJc w:val="left"/>
      <w:pPr>
        <w:ind w:left="3890" w:hanging="284"/>
      </w:pPr>
      <w:rPr>
        <w:rFonts w:hint="default"/>
      </w:rPr>
    </w:lvl>
    <w:lvl w:ilvl="6" w:tplc="CE983C5E">
      <w:start w:val="1"/>
      <w:numFmt w:val="bullet"/>
      <w:lvlText w:val="•"/>
      <w:lvlJc w:val="left"/>
      <w:pPr>
        <w:ind w:left="4584" w:hanging="284"/>
      </w:pPr>
      <w:rPr>
        <w:rFonts w:hint="default"/>
      </w:rPr>
    </w:lvl>
    <w:lvl w:ilvl="7" w:tplc="69926FF4">
      <w:start w:val="1"/>
      <w:numFmt w:val="bullet"/>
      <w:lvlText w:val="•"/>
      <w:lvlJc w:val="left"/>
      <w:pPr>
        <w:ind w:left="5278" w:hanging="284"/>
      </w:pPr>
      <w:rPr>
        <w:rFonts w:hint="default"/>
      </w:rPr>
    </w:lvl>
    <w:lvl w:ilvl="8" w:tplc="7E643F38">
      <w:start w:val="1"/>
      <w:numFmt w:val="bullet"/>
      <w:lvlText w:val="•"/>
      <w:lvlJc w:val="left"/>
      <w:pPr>
        <w:ind w:left="5972" w:hanging="284"/>
      </w:pPr>
      <w:rPr>
        <w:rFonts w:hint="default"/>
      </w:rPr>
    </w:lvl>
  </w:abstractNum>
  <w:abstractNum w:abstractNumId="1"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1D89"/>
    <w:multiLevelType w:val="hybridMultilevel"/>
    <w:tmpl w:val="6958B9B6"/>
    <w:lvl w:ilvl="0" w:tplc="04520B04">
      <w:start w:val="1"/>
      <w:numFmt w:val="bullet"/>
      <w:lvlText w:val=""/>
      <w:lvlJc w:val="left"/>
      <w:pPr>
        <w:ind w:left="419" w:hanging="284"/>
      </w:pPr>
      <w:rPr>
        <w:rFonts w:ascii="Symbol" w:eastAsia="Symbol" w:hAnsi="Symbol" w:hint="default"/>
        <w:w w:val="99"/>
        <w:sz w:val="20"/>
        <w:szCs w:val="20"/>
      </w:rPr>
    </w:lvl>
    <w:lvl w:ilvl="1" w:tplc="D2CEB11A">
      <w:start w:val="1"/>
      <w:numFmt w:val="bullet"/>
      <w:lvlText w:val="•"/>
      <w:lvlJc w:val="left"/>
      <w:pPr>
        <w:ind w:left="1114" w:hanging="284"/>
      </w:pPr>
      <w:rPr>
        <w:rFonts w:hint="default"/>
      </w:rPr>
    </w:lvl>
    <w:lvl w:ilvl="2" w:tplc="B82AA97E">
      <w:start w:val="1"/>
      <w:numFmt w:val="bullet"/>
      <w:lvlText w:val="•"/>
      <w:lvlJc w:val="left"/>
      <w:pPr>
        <w:ind w:left="1808" w:hanging="284"/>
      </w:pPr>
      <w:rPr>
        <w:rFonts w:hint="default"/>
      </w:rPr>
    </w:lvl>
    <w:lvl w:ilvl="3" w:tplc="B1F46136">
      <w:start w:val="1"/>
      <w:numFmt w:val="bullet"/>
      <w:lvlText w:val="•"/>
      <w:lvlJc w:val="left"/>
      <w:pPr>
        <w:ind w:left="2502" w:hanging="284"/>
      </w:pPr>
      <w:rPr>
        <w:rFonts w:hint="default"/>
      </w:rPr>
    </w:lvl>
    <w:lvl w:ilvl="4" w:tplc="C1069CC0">
      <w:start w:val="1"/>
      <w:numFmt w:val="bullet"/>
      <w:lvlText w:val="•"/>
      <w:lvlJc w:val="left"/>
      <w:pPr>
        <w:ind w:left="3196" w:hanging="284"/>
      </w:pPr>
      <w:rPr>
        <w:rFonts w:hint="default"/>
      </w:rPr>
    </w:lvl>
    <w:lvl w:ilvl="5" w:tplc="F32A2236">
      <w:start w:val="1"/>
      <w:numFmt w:val="bullet"/>
      <w:lvlText w:val="•"/>
      <w:lvlJc w:val="left"/>
      <w:pPr>
        <w:ind w:left="3890" w:hanging="284"/>
      </w:pPr>
      <w:rPr>
        <w:rFonts w:hint="default"/>
      </w:rPr>
    </w:lvl>
    <w:lvl w:ilvl="6" w:tplc="E10041E6">
      <w:start w:val="1"/>
      <w:numFmt w:val="bullet"/>
      <w:lvlText w:val="•"/>
      <w:lvlJc w:val="left"/>
      <w:pPr>
        <w:ind w:left="4584" w:hanging="284"/>
      </w:pPr>
      <w:rPr>
        <w:rFonts w:hint="default"/>
      </w:rPr>
    </w:lvl>
    <w:lvl w:ilvl="7" w:tplc="64F0BB78">
      <w:start w:val="1"/>
      <w:numFmt w:val="bullet"/>
      <w:lvlText w:val="•"/>
      <w:lvlJc w:val="left"/>
      <w:pPr>
        <w:ind w:left="5278" w:hanging="284"/>
      </w:pPr>
      <w:rPr>
        <w:rFonts w:hint="default"/>
      </w:rPr>
    </w:lvl>
    <w:lvl w:ilvl="8" w:tplc="71B0EA48">
      <w:start w:val="1"/>
      <w:numFmt w:val="bullet"/>
      <w:lvlText w:val="•"/>
      <w:lvlJc w:val="left"/>
      <w:pPr>
        <w:ind w:left="5972" w:hanging="284"/>
      </w:pPr>
      <w:rPr>
        <w:rFonts w:hint="default"/>
      </w:rPr>
    </w:lvl>
  </w:abstractNum>
  <w:abstractNum w:abstractNumId="4"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8D2E4B"/>
    <w:multiLevelType w:val="hybridMultilevel"/>
    <w:tmpl w:val="6D2E1660"/>
    <w:lvl w:ilvl="0" w:tplc="B40A90CE">
      <w:start w:val="1"/>
      <w:numFmt w:val="bullet"/>
      <w:lvlText w:val=""/>
      <w:lvlJc w:val="left"/>
      <w:pPr>
        <w:ind w:left="419" w:hanging="284"/>
      </w:pPr>
      <w:rPr>
        <w:rFonts w:ascii="Symbol" w:eastAsia="Symbol" w:hAnsi="Symbol" w:hint="default"/>
        <w:w w:val="99"/>
        <w:sz w:val="20"/>
        <w:szCs w:val="20"/>
      </w:rPr>
    </w:lvl>
    <w:lvl w:ilvl="1" w:tplc="937A3F46">
      <w:start w:val="1"/>
      <w:numFmt w:val="bullet"/>
      <w:lvlText w:val="•"/>
      <w:lvlJc w:val="left"/>
      <w:pPr>
        <w:ind w:left="1114" w:hanging="284"/>
      </w:pPr>
      <w:rPr>
        <w:rFonts w:hint="default"/>
      </w:rPr>
    </w:lvl>
    <w:lvl w:ilvl="2" w:tplc="E05CD4E2">
      <w:start w:val="1"/>
      <w:numFmt w:val="bullet"/>
      <w:lvlText w:val="•"/>
      <w:lvlJc w:val="left"/>
      <w:pPr>
        <w:ind w:left="1808" w:hanging="284"/>
      </w:pPr>
      <w:rPr>
        <w:rFonts w:hint="default"/>
      </w:rPr>
    </w:lvl>
    <w:lvl w:ilvl="3" w:tplc="73A60F9C">
      <w:start w:val="1"/>
      <w:numFmt w:val="bullet"/>
      <w:lvlText w:val="•"/>
      <w:lvlJc w:val="left"/>
      <w:pPr>
        <w:ind w:left="2502" w:hanging="284"/>
      </w:pPr>
      <w:rPr>
        <w:rFonts w:hint="default"/>
      </w:rPr>
    </w:lvl>
    <w:lvl w:ilvl="4" w:tplc="19C267BA">
      <w:start w:val="1"/>
      <w:numFmt w:val="bullet"/>
      <w:lvlText w:val="•"/>
      <w:lvlJc w:val="left"/>
      <w:pPr>
        <w:ind w:left="3196" w:hanging="284"/>
      </w:pPr>
      <w:rPr>
        <w:rFonts w:hint="default"/>
      </w:rPr>
    </w:lvl>
    <w:lvl w:ilvl="5" w:tplc="E06AD9BC">
      <w:start w:val="1"/>
      <w:numFmt w:val="bullet"/>
      <w:lvlText w:val="•"/>
      <w:lvlJc w:val="left"/>
      <w:pPr>
        <w:ind w:left="3890" w:hanging="284"/>
      </w:pPr>
      <w:rPr>
        <w:rFonts w:hint="default"/>
      </w:rPr>
    </w:lvl>
    <w:lvl w:ilvl="6" w:tplc="9F5E74F4">
      <w:start w:val="1"/>
      <w:numFmt w:val="bullet"/>
      <w:lvlText w:val="•"/>
      <w:lvlJc w:val="left"/>
      <w:pPr>
        <w:ind w:left="4584" w:hanging="284"/>
      </w:pPr>
      <w:rPr>
        <w:rFonts w:hint="default"/>
      </w:rPr>
    </w:lvl>
    <w:lvl w:ilvl="7" w:tplc="4CE8B4E0">
      <w:start w:val="1"/>
      <w:numFmt w:val="bullet"/>
      <w:lvlText w:val="•"/>
      <w:lvlJc w:val="left"/>
      <w:pPr>
        <w:ind w:left="5278" w:hanging="284"/>
      </w:pPr>
      <w:rPr>
        <w:rFonts w:hint="default"/>
      </w:rPr>
    </w:lvl>
    <w:lvl w:ilvl="8" w:tplc="987684A4">
      <w:start w:val="1"/>
      <w:numFmt w:val="bullet"/>
      <w:lvlText w:val="•"/>
      <w:lvlJc w:val="left"/>
      <w:pPr>
        <w:ind w:left="5972" w:hanging="284"/>
      </w:pPr>
      <w:rPr>
        <w:rFonts w:hint="default"/>
      </w:rPr>
    </w:lvl>
  </w:abstractNum>
  <w:abstractNum w:abstractNumId="7" w15:restartNumberingAfterBreak="0">
    <w:nsid w:val="37A3368D"/>
    <w:multiLevelType w:val="hybridMultilevel"/>
    <w:tmpl w:val="10748AFA"/>
    <w:lvl w:ilvl="0" w:tplc="364C722E">
      <w:start w:val="1"/>
      <w:numFmt w:val="bullet"/>
      <w:lvlText w:val=""/>
      <w:lvlJc w:val="left"/>
      <w:pPr>
        <w:ind w:left="470" w:hanging="334"/>
      </w:pPr>
      <w:rPr>
        <w:rFonts w:ascii="Symbol" w:eastAsia="Symbol" w:hAnsi="Symbol" w:hint="default"/>
        <w:w w:val="99"/>
        <w:sz w:val="20"/>
        <w:szCs w:val="20"/>
      </w:rPr>
    </w:lvl>
    <w:lvl w:ilvl="1" w:tplc="C2605668">
      <w:start w:val="1"/>
      <w:numFmt w:val="bullet"/>
      <w:lvlText w:val="•"/>
      <w:lvlJc w:val="left"/>
      <w:pPr>
        <w:ind w:left="1168" w:hanging="334"/>
      </w:pPr>
      <w:rPr>
        <w:rFonts w:hint="default"/>
      </w:rPr>
    </w:lvl>
    <w:lvl w:ilvl="2" w:tplc="4D3A1C30">
      <w:start w:val="1"/>
      <w:numFmt w:val="bullet"/>
      <w:lvlText w:val="•"/>
      <w:lvlJc w:val="left"/>
      <w:pPr>
        <w:ind w:left="1856" w:hanging="334"/>
      </w:pPr>
      <w:rPr>
        <w:rFonts w:hint="default"/>
      </w:rPr>
    </w:lvl>
    <w:lvl w:ilvl="3" w:tplc="BE5A09A2">
      <w:start w:val="1"/>
      <w:numFmt w:val="bullet"/>
      <w:lvlText w:val="•"/>
      <w:lvlJc w:val="left"/>
      <w:pPr>
        <w:ind w:left="2544" w:hanging="334"/>
      </w:pPr>
      <w:rPr>
        <w:rFonts w:hint="default"/>
      </w:rPr>
    </w:lvl>
    <w:lvl w:ilvl="4" w:tplc="E5A0BC44">
      <w:start w:val="1"/>
      <w:numFmt w:val="bullet"/>
      <w:lvlText w:val="•"/>
      <w:lvlJc w:val="left"/>
      <w:pPr>
        <w:ind w:left="3232" w:hanging="334"/>
      </w:pPr>
      <w:rPr>
        <w:rFonts w:hint="default"/>
      </w:rPr>
    </w:lvl>
    <w:lvl w:ilvl="5" w:tplc="295891E2">
      <w:start w:val="1"/>
      <w:numFmt w:val="bullet"/>
      <w:lvlText w:val="•"/>
      <w:lvlJc w:val="left"/>
      <w:pPr>
        <w:ind w:left="3920" w:hanging="334"/>
      </w:pPr>
      <w:rPr>
        <w:rFonts w:hint="default"/>
      </w:rPr>
    </w:lvl>
    <w:lvl w:ilvl="6" w:tplc="0D608036">
      <w:start w:val="1"/>
      <w:numFmt w:val="bullet"/>
      <w:lvlText w:val="•"/>
      <w:lvlJc w:val="left"/>
      <w:pPr>
        <w:ind w:left="4608" w:hanging="334"/>
      </w:pPr>
      <w:rPr>
        <w:rFonts w:hint="default"/>
      </w:rPr>
    </w:lvl>
    <w:lvl w:ilvl="7" w:tplc="36B2B564">
      <w:start w:val="1"/>
      <w:numFmt w:val="bullet"/>
      <w:lvlText w:val="•"/>
      <w:lvlJc w:val="left"/>
      <w:pPr>
        <w:ind w:left="5296" w:hanging="334"/>
      </w:pPr>
      <w:rPr>
        <w:rFonts w:hint="default"/>
      </w:rPr>
    </w:lvl>
    <w:lvl w:ilvl="8" w:tplc="51C8D9F6">
      <w:start w:val="1"/>
      <w:numFmt w:val="bullet"/>
      <w:lvlText w:val="•"/>
      <w:lvlJc w:val="left"/>
      <w:pPr>
        <w:ind w:left="5984" w:hanging="334"/>
      </w:pPr>
      <w:rPr>
        <w:rFonts w:hint="default"/>
      </w:rPr>
    </w:lvl>
  </w:abstractNum>
  <w:abstractNum w:abstractNumId="8" w15:restartNumberingAfterBreak="0">
    <w:nsid w:val="3B352026"/>
    <w:multiLevelType w:val="hybridMultilevel"/>
    <w:tmpl w:val="F7A64564"/>
    <w:lvl w:ilvl="0" w:tplc="615ECC70">
      <w:start w:val="1"/>
      <w:numFmt w:val="bullet"/>
      <w:lvlText w:val=""/>
      <w:lvlJc w:val="left"/>
      <w:pPr>
        <w:ind w:left="460" w:hanging="358"/>
      </w:pPr>
      <w:rPr>
        <w:rFonts w:ascii="Symbol" w:eastAsia="Symbol" w:hAnsi="Symbol" w:hint="default"/>
        <w:w w:val="99"/>
        <w:sz w:val="20"/>
        <w:szCs w:val="20"/>
      </w:rPr>
    </w:lvl>
    <w:lvl w:ilvl="1" w:tplc="5B0676B2">
      <w:start w:val="1"/>
      <w:numFmt w:val="bullet"/>
      <w:lvlText w:val="•"/>
      <w:lvlJc w:val="left"/>
      <w:pPr>
        <w:ind w:left="1049" w:hanging="358"/>
      </w:pPr>
      <w:rPr>
        <w:rFonts w:hint="default"/>
      </w:rPr>
    </w:lvl>
    <w:lvl w:ilvl="2" w:tplc="232EF77C">
      <w:start w:val="1"/>
      <w:numFmt w:val="bullet"/>
      <w:lvlText w:val="•"/>
      <w:lvlJc w:val="left"/>
      <w:pPr>
        <w:ind w:left="1639" w:hanging="358"/>
      </w:pPr>
      <w:rPr>
        <w:rFonts w:hint="default"/>
      </w:rPr>
    </w:lvl>
    <w:lvl w:ilvl="3" w:tplc="04E8B26C">
      <w:start w:val="1"/>
      <w:numFmt w:val="bullet"/>
      <w:lvlText w:val="•"/>
      <w:lvlJc w:val="left"/>
      <w:pPr>
        <w:ind w:left="2229" w:hanging="358"/>
      </w:pPr>
      <w:rPr>
        <w:rFonts w:hint="default"/>
      </w:rPr>
    </w:lvl>
    <w:lvl w:ilvl="4" w:tplc="4D5C471C">
      <w:start w:val="1"/>
      <w:numFmt w:val="bullet"/>
      <w:lvlText w:val="•"/>
      <w:lvlJc w:val="left"/>
      <w:pPr>
        <w:ind w:left="2819" w:hanging="358"/>
      </w:pPr>
      <w:rPr>
        <w:rFonts w:hint="default"/>
      </w:rPr>
    </w:lvl>
    <w:lvl w:ilvl="5" w:tplc="50A8C2E8">
      <w:start w:val="1"/>
      <w:numFmt w:val="bullet"/>
      <w:lvlText w:val="•"/>
      <w:lvlJc w:val="left"/>
      <w:pPr>
        <w:ind w:left="3409" w:hanging="358"/>
      </w:pPr>
      <w:rPr>
        <w:rFonts w:hint="default"/>
      </w:rPr>
    </w:lvl>
    <w:lvl w:ilvl="6" w:tplc="DBEEF75C">
      <w:start w:val="1"/>
      <w:numFmt w:val="bullet"/>
      <w:lvlText w:val="•"/>
      <w:lvlJc w:val="left"/>
      <w:pPr>
        <w:ind w:left="3999" w:hanging="358"/>
      </w:pPr>
      <w:rPr>
        <w:rFonts w:hint="default"/>
      </w:rPr>
    </w:lvl>
    <w:lvl w:ilvl="7" w:tplc="515A3A36">
      <w:start w:val="1"/>
      <w:numFmt w:val="bullet"/>
      <w:lvlText w:val="•"/>
      <w:lvlJc w:val="left"/>
      <w:pPr>
        <w:ind w:left="4589" w:hanging="358"/>
      </w:pPr>
      <w:rPr>
        <w:rFonts w:hint="default"/>
      </w:rPr>
    </w:lvl>
    <w:lvl w:ilvl="8" w:tplc="827EB108">
      <w:start w:val="1"/>
      <w:numFmt w:val="bullet"/>
      <w:lvlText w:val="•"/>
      <w:lvlJc w:val="left"/>
      <w:pPr>
        <w:ind w:left="5178" w:hanging="358"/>
      </w:pPr>
      <w:rPr>
        <w:rFonts w:hint="default"/>
      </w:rPr>
    </w:lvl>
  </w:abstractNum>
  <w:abstractNum w:abstractNumId="9"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3"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527B1"/>
    <w:multiLevelType w:val="hybridMultilevel"/>
    <w:tmpl w:val="FCF84F94"/>
    <w:lvl w:ilvl="0" w:tplc="5FFE25F8">
      <w:start w:val="1"/>
      <w:numFmt w:val="bullet"/>
      <w:lvlText w:val=""/>
      <w:lvlJc w:val="left"/>
      <w:pPr>
        <w:ind w:left="419" w:hanging="284"/>
      </w:pPr>
      <w:rPr>
        <w:rFonts w:ascii="Symbol" w:eastAsia="Symbol" w:hAnsi="Symbol" w:hint="default"/>
        <w:w w:val="99"/>
        <w:sz w:val="20"/>
        <w:szCs w:val="20"/>
      </w:rPr>
    </w:lvl>
    <w:lvl w:ilvl="1" w:tplc="07F2527A">
      <w:start w:val="1"/>
      <w:numFmt w:val="bullet"/>
      <w:lvlText w:val="•"/>
      <w:lvlJc w:val="left"/>
      <w:pPr>
        <w:ind w:left="1114" w:hanging="284"/>
      </w:pPr>
      <w:rPr>
        <w:rFonts w:hint="default"/>
      </w:rPr>
    </w:lvl>
    <w:lvl w:ilvl="2" w:tplc="62E6796A">
      <w:start w:val="1"/>
      <w:numFmt w:val="bullet"/>
      <w:lvlText w:val="•"/>
      <w:lvlJc w:val="left"/>
      <w:pPr>
        <w:ind w:left="1808" w:hanging="284"/>
      </w:pPr>
      <w:rPr>
        <w:rFonts w:hint="default"/>
      </w:rPr>
    </w:lvl>
    <w:lvl w:ilvl="3" w:tplc="61A42BC2">
      <w:start w:val="1"/>
      <w:numFmt w:val="bullet"/>
      <w:lvlText w:val="•"/>
      <w:lvlJc w:val="left"/>
      <w:pPr>
        <w:ind w:left="2502" w:hanging="284"/>
      </w:pPr>
      <w:rPr>
        <w:rFonts w:hint="default"/>
      </w:rPr>
    </w:lvl>
    <w:lvl w:ilvl="4" w:tplc="1F0E9EEC">
      <w:start w:val="1"/>
      <w:numFmt w:val="bullet"/>
      <w:lvlText w:val="•"/>
      <w:lvlJc w:val="left"/>
      <w:pPr>
        <w:ind w:left="3196" w:hanging="284"/>
      </w:pPr>
      <w:rPr>
        <w:rFonts w:hint="default"/>
      </w:rPr>
    </w:lvl>
    <w:lvl w:ilvl="5" w:tplc="6F7C554C">
      <w:start w:val="1"/>
      <w:numFmt w:val="bullet"/>
      <w:lvlText w:val="•"/>
      <w:lvlJc w:val="left"/>
      <w:pPr>
        <w:ind w:left="3890" w:hanging="284"/>
      </w:pPr>
      <w:rPr>
        <w:rFonts w:hint="default"/>
      </w:rPr>
    </w:lvl>
    <w:lvl w:ilvl="6" w:tplc="BC965908">
      <w:start w:val="1"/>
      <w:numFmt w:val="bullet"/>
      <w:lvlText w:val="•"/>
      <w:lvlJc w:val="left"/>
      <w:pPr>
        <w:ind w:left="4584" w:hanging="284"/>
      </w:pPr>
      <w:rPr>
        <w:rFonts w:hint="default"/>
      </w:rPr>
    </w:lvl>
    <w:lvl w:ilvl="7" w:tplc="0630C672">
      <w:start w:val="1"/>
      <w:numFmt w:val="bullet"/>
      <w:lvlText w:val="•"/>
      <w:lvlJc w:val="left"/>
      <w:pPr>
        <w:ind w:left="5278" w:hanging="284"/>
      </w:pPr>
      <w:rPr>
        <w:rFonts w:hint="default"/>
      </w:rPr>
    </w:lvl>
    <w:lvl w:ilvl="8" w:tplc="7644891E">
      <w:start w:val="1"/>
      <w:numFmt w:val="bullet"/>
      <w:lvlText w:val="•"/>
      <w:lvlJc w:val="left"/>
      <w:pPr>
        <w:ind w:left="5972" w:hanging="284"/>
      </w:pPr>
      <w:rPr>
        <w:rFonts w:hint="default"/>
      </w:rPr>
    </w:lvl>
  </w:abstractNum>
  <w:abstractNum w:abstractNumId="15" w15:restartNumberingAfterBreak="0">
    <w:nsid w:val="54C847D2"/>
    <w:multiLevelType w:val="hybridMultilevel"/>
    <w:tmpl w:val="2C227C08"/>
    <w:lvl w:ilvl="0" w:tplc="D0EEF718">
      <w:start w:val="1"/>
      <w:numFmt w:val="decimal"/>
      <w:lvlText w:val="%1."/>
      <w:lvlJc w:val="left"/>
      <w:pPr>
        <w:ind w:left="579" w:hanging="360"/>
        <w:jc w:val="left"/>
      </w:pPr>
      <w:rPr>
        <w:rFonts w:ascii="Arial" w:eastAsia="Arial" w:hAnsi="Arial" w:hint="default"/>
        <w:b/>
        <w:bCs/>
        <w:color w:val="007DC3"/>
        <w:spacing w:val="-1"/>
        <w:w w:val="99"/>
        <w:sz w:val="20"/>
        <w:szCs w:val="20"/>
      </w:rPr>
    </w:lvl>
    <w:lvl w:ilvl="1" w:tplc="D87EF5CC">
      <w:start w:val="1"/>
      <w:numFmt w:val="bullet"/>
      <w:lvlText w:val="•"/>
      <w:lvlJc w:val="left"/>
      <w:pPr>
        <w:ind w:left="1492" w:hanging="360"/>
      </w:pPr>
      <w:rPr>
        <w:rFonts w:hint="default"/>
      </w:rPr>
    </w:lvl>
    <w:lvl w:ilvl="2" w:tplc="531A899A">
      <w:start w:val="1"/>
      <w:numFmt w:val="bullet"/>
      <w:lvlText w:val="•"/>
      <w:lvlJc w:val="left"/>
      <w:pPr>
        <w:ind w:left="2404" w:hanging="360"/>
      </w:pPr>
      <w:rPr>
        <w:rFonts w:hint="default"/>
      </w:rPr>
    </w:lvl>
    <w:lvl w:ilvl="3" w:tplc="7E14434E">
      <w:start w:val="1"/>
      <w:numFmt w:val="bullet"/>
      <w:lvlText w:val="•"/>
      <w:lvlJc w:val="left"/>
      <w:pPr>
        <w:ind w:left="3316" w:hanging="360"/>
      </w:pPr>
      <w:rPr>
        <w:rFonts w:hint="default"/>
      </w:rPr>
    </w:lvl>
    <w:lvl w:ilvl="4" w:tplc="65A4DA12">
      <w:start w:val="1"/>
      <w:numFmt w:val="bullet"/>
      <w:lvlText w:val="•"/>
      <w:lvlJc w:val="left"/>
      <w:pPr>
        <w:ind w:left="4228" w:hanging="360"/>
      </w:pPr>
      <w:rPr>
        <w:rFonts w:hint="default"/>
      </w:rPr>
    </w:lvl>
    <w:lvl w:ilvl="5" w:tplc="96EC44CA">
      <w:start w:val="1"/>
      <w:numFmt w:val="bullet"/>
      <w:lvlText w:val="•"/>
      <w:lvlJc w:val="left"/>
      <w:pPr>
        <w:ind w:left="5140" w:hanging="360"/>
      </w:pPr>
      <w:rPr>
        <w:rFonts w:hint="default"/>
      </w:rPr>
    </w:lvl>
    <w:lvl w:ilvl="6" w:tplc="8C2A8A5A">
      <w:start w:val="1"/>
      <w:numFmt w:val="bullet"/>
      <w:lvlText w:val="•"/>
      <w:lvlJc w:val="left"/>
      <w:pPr>
        <w:ind w:left="6052" w:hanging="360"/>
      </w:pPr>
      <w:rPr>
        <w:rFonts w:hint="default"/>
      </w:rPr>
    </w:lvl>
    <w:lvl w:ilvl="7" w:tplc="0DD26CFE">
      <w:start w:val="1"/>
      <w:numFmt w:val="bullet"/>
      <w:lvlText w:val="•"/>
      <w:lvlJc w:val="left"/>
      <w:pPr>
        <w:ind w:left="6964" w:hanging="360"/>
      </w:pPr>
      <w:rPr>
        <w:rFonts w:hint="default"/>
      </w:rPr>
    </w:lvl>
    <w:lvl w:ilvl="8" w:tplc="C16E27BA">
      <w:start w:val="1"/>
      <w:numFmt w:val="bullet"/>
      <w:lvlText w:val="•"/>
      <w:lvlJc w:val="left"/>
      <w:pPr>
        <w:ind w:left="7876" w:hanging="360"/>
      </w:pPr>
      <w:rPr>
        <w:rFonts w:hint="default"/>
      </w:rPr>
    </w:lvl>
  </w:abstractNum>
  <w:abstractNum w:abstractNumId="16" w15:restartNumberingAfterBreak="0">
    <w:nsid w:val="6FE024AA"/>
    <w:multiLevelType w:val="hybridMultilevel"/>
    <w:tmpl w:val="9A72B54C"/>
    <w:lvl w:ilvl="0" w:tplc="B5FE654A">
      <w:start w:val="1"/>
      <w:numFmt w:val="bullet"/>
      <w:lvlText w:val=""/>
      <w:lvlJc w:val="left"/>
      <w:pPr>
        <w:ind w:left="419" w:hanging="284"/>
      </w:pPr>
      <w:rPr>
        <w:rFonts w:ascii="Symbol" w:eastAsia="Symbol" w:hAnsi="Symbol" w:hint="default"/>
        <w:w w:val="99"/>
        <w:sz w:val="20"/>
        <w:szCs w:val="20"/>
      </w:rPr>
    </w:lvl>
    <w:lvl w:ilvl="1" w:tplc="354AB87C">
      <w:start w:val="1"/>
      <w:numFmt w:val="bullet"/>
      <w:lvlText w:val="•"/>
      <w:lvlJc w:val="left"/>
      <w:pPr>
        <w:ind w:left="1114" w:hanging="284"/>
      </w:pPr>
      <w:rPr>
        <w:rFonts w:hint="default"/>
      </w:rPr>
    </w:lvl>
    <w:lvl w:ilvl="2" w:tplc="E3446E18">
      <w:start w:val="1"/>
      <w:numFmt w:val="bullet"/>
      <w:lvlText w:val="•"/>
      <w:lvlJc w:val="left"/>
      <w:pPr>
        <w:ind w:left="1808" w:hanging="284"/>
      </w:pPr>
      <w:rPr>
        <w:rFonts w:hint="default"/>
      </w:rPr>
    </w:lvl>
    <w:lvl w:ilvl="3" w:tplc="2E2E074C">
      <w:start w:val="1"/>
      <w:numFmt w:val="bullet"/>
      <w:lvlText w:val="•"/>
      <w:lvlJc w:val="left"/>
      <w:pPr>
        <w:ind w:left="2502" w:hanging="284"/>
      </w:pPr>
      <w:rPr>
        <w:rFonts w:hint="default"/>
      </w:rPr>
    </w:lvl>
    <w:lvl w:ilvl="4" w:tplc="53D6C22E">
      <w:start w:val="1"/>
      <w:numFmt w:val="bullet"/>
      <w:lvlText w:val="•"/>
      <w:lvlJc w:val="left"/>
      <w:pPr>
        <w:ind w:left="3196" w:hanging="284"/>
      </w:pPr>
      <w:rPr>
        <w:rFonts w:hint="default"/>
      </w:rPr>
    </w:lvl>
    <w:lvl w:ilvl="5" w:tplc="F7564D82">
      <w:start w:val="1"/>
      <w:numFmt w:val="bullet"/>
      <w:lvlText w:val="•"/>
      <w:lvlJc w:val="left"/>
      <w:pPr>
        <w:ind w:left="3890" w:hanging="284"/>
      </w:pPr>
      <w:rPr>
        <w:rFonts w:hint="default"/>
      </w:rPr>
    </w:lvl>
    <w:lvl w:ilvl="6" w:tplc="EC5078B0">
      <w:start w:val="1"/>
      <w:numFmt w:val="bullet"/>
      <w:lvlText w:val="•"/>
      <w:lvlJc w:val="left"/>
      <w:pPr>
        <w:ind w:left="4584" w:hanging="284"/>
      </w:pPr>
      <w:rPr>
        <w:rFonts w:hint="default"/>
      </w:rPr>
    </w:lvl>
    <w:lvl w:ilvl="7" w:tplc="688C5710">
      <w:start w:val="1"/>
      <w:numFmt w:val="bullet"/>
      <w:lvlText w:val="•"/>
      <w:lvlJc w:val="left"/>
      <w:pPr>
        <w:ind w:left="5278" w:hanging="284"/>
      </w:pPr>
      <w:rPr>
        <w:rFonts w:hint="default"/>
      </w:rPr>
    </w:lvl>
    <w:lvl w:ilvl="8" w:tplc="84EE3D9A">
      <w:start w:val="1"/>
      <w:numFmt w:val="bullet"/>
      <w:lvlText w:val="•"/>
      <w:lvlJc w:val="left"/>
      <w:pPr>
        <w:ind w:left="5972" w:hanging="284"/>
      </w:pPr>
      <w:rPr>
        <w:rFonts w:hint="default"/>
      </w:rPr>
    </w:lvl>
  </w:abstractNum>
  <w:abstractNum w:abstractNumId="17" w15:restartNumberingAfterBreak="0">
    <w:nsid w:val="7346217C"/>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8C5232"/>
    <w:multiLevelType w:val="hybridMultilevel"/>
    <w:tmpl w:val="21227CB0"/>
    <w:lvl w:ilvl="0" w:tplc="D7B4D532">
      <w:start w:val="1"/>
      <w:numFmt w:val="bullet"/>
      <w:lvlText w:val=""/>
      <w:lvlJc w:val="left"/>
      <w:pPr>
        <w:ind w:left="273" w:hanging="171"/>
      </w:pPr>
      <w:rPr>
        <w:rFonts w:ascii="Symbol" w:eastAsia="Symbol" w:hAnsi="Symbol" w:hint="default"/>
        <w:w w:val="99"/>
        <w:sz w:val="20"/>
        <w:szCs w:val="20"/>
      </w:rPr>
    </w:lvl>
    <w:lvl w:ilvl="1" w:tplc="7F30ED0C">
      <w:start w:val="1"/>
      <w:numFmt w:val="bullet"/>
      <w:lvlText w:val="•"/>
      <w:lvlJc w:val="left"/>
      <w:pPr>
        <w:ind w:left="887" w:hanging="171"/>
      </w:pPr>
      <w:rPr>
        <w:rFonts w:hint="default"/>
      </w:rPr>
    </w:lvl>
    <w:lvl w:ilvl="2" w:tplc="A98E532E">
      <w:start w:val="1"/>
      <w:numFmt w:val="bullet"/>
      <w:lvlText w:val="•"/>
      <w:lvlJc w:val="left"/>
      <w:pPr>
        <w:ind w:left="1495" w:hanging="171"/>
      </w:pPr>
      <w:rPr>
        <w:rFonts w:hint="default"/>
      </w:rPr>
    </w:lvl>
    <w:lvl w:ilvl="3" w:tplc="89226BD0">
      <w:start w:val="1"/>
      <w:numFmt w:val="bullet"/>
      <w:lvlText w:val="•"/>
      <w:lvlJc w:val="left"/>
      <w:pPr>
        <w:ind w:left="2103" w:hanging="171"/>
      </w:pPr>
      <w:rPr>
        <w:rFonts w:hint="default"/>
      </w:rPr>
    </w:lvl>
    <w:lvl w:ilvl="4" w:tplc="AB36A31A">
      <w:start w:val="1"/>
      <w:numFmt w:val="bullet"/>
      <w:lvlText w:val="•"/>
      <w:lvlJc w:val="left"/>
      <w:pPr>
        <w:ind w:left="2711" w:hanging="171"/>
      </w:pPr>
      <w:rPr>
        <w:rFonts w:hint="default"/>
      </w:rPr>
    </w:lvl>
    <w:lvl w:ilvl="5" w:tplc="BD34E822">
      <w:start w:val="1"/>
      <w:numFmt w:val="bullet"/>
      <w:lvlText w:val="•"/>
      <w:lvlJc w:val="left"/>
      <w:pPr>
        <w:ind w:left="3319" w:hanging="171"/>
      </w:pPr>
      <w:rPr>
        <w:rFonts w:hint="default"/>
      </w:rPr>
    </w:lvl>
    <w:lvl w:ilvl="6" w:tplc="20AE312A">
      <w:start w:val="1"/>
      <w:numFmt w:val="bullet"/>
      <w:lvlText w:val="•"/>
      <w:lvlJc w:val="left"/>
      <w:pPr>
        <w:ind w:left="3927" w:hanging="171"/>
      </w:pPr>
      <w:rPr>
        <w:rFonts w:hint="default"/>
      </w:rPr>
    </w:lvl>
    <w:lvl w:ilvl="7" w:tplc="7B62EAB2">
      <w:start w:val="1"/>
      <w:numFmt w:val="bullet"/>
      <w:lvlText w:val="•"/>
      <w:lvlJc w:val="left"/>
      <w:pPr>
        <w:ind w:left="4535" w:hanging="171"/>
      </w:pPr>
      <w:rPr>
        <w:rFonts w:hint="default"/>
      </w:rPr>
    </w:lvl>
    <w:lvl w:ilvl="8" w:tplc="75F0D9C2">
      <w:start w:val="1"/>
      <w:numFmt w:val="bullet"/>
      <w:lvlText w:val="•"/>
      <w:lvlJc w:val="left"/>
      <w:pPr>
        <w:ind w:left="5142" w:hanging="171"/>
      </w:pPr>
      <w:rPr>
        <w:rFonts w:hint="default"/>
      </w:rPr>
    </w:lvl>
  </w:abstractNum>
  <w:num w:numId="1">
    <w:abstractNumId w:val="8"/>
  </w:num>
  <w:num w:numId="2">
    <w:abstractNumId w:val="18"/>
  </w:num>
  <w:num w:numId="3">
    <w:abstractNumId w:val="7"/>
  </w:num>
  <w:num w:numId="4">
    <w:abstractNumId w:val="3"/>
  </w:num>
  <w:num w:numId="5">
    <w:abstractNumId w:val="6"/>
  </w:num>
  <w:num w:numId="6">
    <w:abstractNumId w:val="0"/>
  </w:num>
  <w:num w:numId="7">
    <w:abstractNumId w:val="14"/>
  </w:num>
  <w:num w:numId="8">
    <w:abstractNumId w:val="16"/>
  </w:num>
  <w:num w:numId="9">
    <w:abstractNumId w:val="15"/>
  </w:num>
  <w:num w:numId="10">
    <w:abstractNumId w:val="11"/>
  </w:num>
  <w:num w:numId="11">
    <w:abstractNumId w:val="10"/>
  </w:num>
  <w:num w:numId="12">
    <w:abstractNumId w:val="9"/>
  </w:num>
  <w:num w:numId="13">
    <w:abstractNumId w:val="1"/>
  </w:num>
  <w:num w:numId="14">
    <w:abstractNumId w:val="13"/>
  </w:num>
  <w:num w:numId="15">
    <w:abstractNumId w:val="2"/>
  </w:num>
  <w:num w:numId="16">
    <w:abstractNumId w:val="1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55"/>
    <w:rsid w:val="00010343"/>
    <w:rsid w:val="00121D0F"/>
    <w:rsid w:val="003A056C"/>
    <w:rsid w:val="005847C7"/>
    <w:rsid w:val="005A2855"/>
    <w:rsid w:val="006B10DC"/>
    <w:rsid w:val="007A2D51"/>
    <w:rsid w:val="00805DE8"/>
    <w:rsid w:val="00941A45"/>
    <w:rsid w:val="00974A6A"/>
    <w:rsid w:val="009B7609"/>
    <w:rsid w:val="00AB21F7"/>
    <w:rsid w:val="00E17FE6"/>
    <w:rsid w:val="00ED0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32C1E-8997-479A-9662-31E8439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A2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2855"/>
    <w:pPr>
      <w:spacing w:before="35"/>
      <w:ind w:left="100"/>
    </w:pPr>
    <w:rPr>
      <w:rFonts w:ascii="Arial" w:eastAsia="Arial" w:hAnsi="Arial"/>
      <w:sz w:val="28"/>
      <w:szCs w:val="28"/>
    </w:rPr>
  </w:style>
  <w:style w:type="paragraph" w:styleId="ListParagraph">
    <w:name w:val="List Paragraph"/>
    <w:basedOn w:val="Normal"/>
    <w:uiPriority w:val="34"/>
    <w:qFormat/>
    <w:rsid w:val="005A2855"/>
  </w:style>
  <w:style w:type="paragraph" w:customStyle="1" w:styleId="TableParagraph">
    <w:name w:val="Table Paragraph"/>
    <w:basedOn w:val="Normal"/>
    <w:uiPriority w:val="1"/>
    <w:qFormat/>
    <w:rsid w:val="005A2855"/>
  </w:style>
  <w:style w:type="paragraph" w:customStyle="1" w:styleId="AHPRAbody">
    <w:name w:val="AHPRA body"/>
    <w:basedOn w:val="Normal"/>
    <w:link w:val="AHPRAbodyChar"/>
    <w:qFormat/>
    <w:rsid w:val="006B10DC"/>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6B10DC"/>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6B10DC"/>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6B10DC"/>
  </w:style>
  <w:style w:type="table" w:styleId="TableGrid">
    <w:name w:val="Table Grid"/>
    <w:basedOn w:val="TableNormal"/>
    <w:rsid w:val="006B10DC"/>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0DC"/>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6B10DC"/>
    <w:rPr>
      <w:rFonts w:ascii="Arial" w:eastAsia="Cambria" w:hAnsi="Arial" w:cs="Times New Roman"/>
      <w:sz w:val="24"/>
      <w:szCs w:val="24"/>
      <w:lang w:val="en-AU"/>
    </w:rPr>
  </w:style>
  <w:style w:type="paragraph" w:customStyle="1" w:styleId="AHPRAfooter">
    <w:name w:val="AHPRA footer"/>
    <w:basedOn w:val="FootnoteText"/>
    <w:rsid w:val="006B10DC"/>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6B10DC"/>
    <w:pPr>
      <w:jc w:val="center"/>
    </w:pPr>
    <w:rPr>
      <w:b/>
    </w:rPr>
  </w:style>
  <w:style w:type="character" w:customStyle="1" w:styleId="AHPRAbodyChar">
    <w:name w:val="AHPRA body Char"/>
    <w:basedOn w:val="DefaultParagraphFont"/>
    <w:link w:val="AHPRAbody"/>
    <w:rsid w:val="006B10DC"/>
    <w:rPr>
      <w:rFonts w:ascii="Arial" w:eastAsia="Cambria" w:hAnsi="Arial" w:cs="Arial"/>
      <w:sz w:val="20"/>
      <w:szCs w:val="24"/>
      <w:lang w:val="en-AU"/>
    </w:rPr>
  </w:style>
  <w:style w:type="paragraph" w:customStyle="1" w:styleId="Default">
    <w:name w:val="Default"/>
    <w:rsid w:val="006B10DC"/>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6B10DC"/>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6B10DC"/>
    <w:rPr>
      <w:sz w:val="20"/>
      <w:szCs w:val="20"/>
    </w:rPr>
  </w:style>
  <w:style w:type="character" w:customStyle="1" w:styleId="FootnoteTextChar">
    <w:name w:val="Footnote Text Char"/>
    <w:basedOn w:val="DefaultParagraphFont"/>
    <w:link w:val="FootnoteText"/>
    <w:uiPriority w:val="99"/>
    <w:semiHidden/>
    <w:rsid w:val="006B10DC"/>
    <w:rPr>
      <w:sz w:val="20"/>
      <w:szCs w:val="20"/>
    </w:rPr>
  </w:style>
  <w:style w:type="paragraph" w:styleId="BalloonText">
    <w:name w:val="Balloon Text"/>
    <w:basedOn w:val="Normal"/>
    <w:link w:val="BalloonTextChar"/>
    <w:uiPriority w:val="99"/>
    <w:semiHidden/>
    <w:unhideWhenUsed/>
    <w:rsid w:val="006B10DC"/>
    <w:rPr>
      <w:rFonts w:ascii="Tahoma" w:hAnsi="Tahoma" w:cs="Tahoma"/>
      <w:sz w:val="16"/>
      <w:szCs w:val="16"/>
    </w:rPr>
  </w:style>
  <w:style w:type="character" w:customStyle="1" w:styleId="BalloonTextChar">
    <w:name w:val="Balloon Text Char"/>
    <w:basedOn w:val="DefaultParagraphFont"/>
    <w:link w:val="BalloonText"/>
    <w:uiPriority w:val="99"/>
    <w:semiHidden/>
    <w:rsid w:val="006B10DC"/>
    <w:rPr>
      <w:rFonts w:ascii="Tahoma" w:hAnsi="Tahoma" w:cs="Tahoma"/>
      <w:sz w:val="16"/>
      <w:szCs w:val="16"/>
    </w:rPr>
  </w:style>
  <w:style w:type="paragraph" w:styleId="Footer">
    <w:name w:val="footer"/>
    <w:basedOn w:val="Normal"/>
    <w:link w:val="FooterChar"/>
    <w:uiPriority w:val="99"/>
    <w:unhideWhenUsed/>
    <w:rsid w:val="00941A45"/>
    <w:pPr>
      <w:tabs>
        <w:tab w:val="center" w:pos="4680"/>
        <w:tab w:val="right" w:pos="9360"/>
      </w:tabs>
    </w:pPr>
  </w:style>
  <w:style w:type="character" w:customStyle="1" w:styleId="FooterChar">
    <w:name w:val="Footer Char"/>
    <w:basedOn w:val="DefaultParagraphFont"/>
    <w:link w:val="Footer"/>
    <w:uiPriority w:val="99"/>
    <w:rsid w:val="0094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4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Health Profession Agreement Osteopathy Board of Australia and AHPRA 2016-20</vt:lpstr>
    </vt:vector>
  </TitlesOfParts>
  <Company>AHPRA</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Osteopathy Board of Australia and AHPRA 2016-20</dc:title>
  <dc:subject>Health Profession Agreement</dc:subject>
  <dc:creator>Osteopathy Board</dc:creator>
  <cp:lastModifiedBy>Brett Cremer</cp:lastModifiedBy>
  <cp:revision>2</cp:revision>
  <dcterms:created xsi:type="dcterms:W3CDTF">2018-11-08T23:12:00Z</dcterms:created>
  <dcterms:modified xsi:type="dcterms:W3CDTF">2018-11-08T23:12:00Z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