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81" w:rsidRPr="005330A7" w:rsidRDefault="00375A96" w:rsidP="00512558">
      <w:pPr>
        <w:pStyle w:val="AHPRADocumenttitle"/>
      </w:pPr>
      <w:bookmarkStart w:id="0" w:name="_GoBack"/>
      <w:bookmarkEnd w:id="0"/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55.95pt;margin-top:34.3pt;width:252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pJ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ztJ4tUr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"/>
        </w:pict>
      </w:r>
      <w:r w:rsidR="00F26D5B">
        <w:rPr>
          <w:noProof/>
          <w:lang w:val="en-GB" w:eastAsia="en-GB"/>
        </w:rPr>
        <w:t>AHPRA Management Policy – Regulatory Operations</w:t>
      </w:r>
    </w:p>
    <w:p w:rsidR="008424C4" w:rsidRPr="00273D09" w:rsidRDefault="00F26D5B" w:rsidP="007F1E4A">
      <w:pPr>
        <w:pStyle w:val="AHPRADocumentsubheading"/>
        <w:spacing w:before="360" w:after="0"/>
      </w:pPr>
      <w:r>
        <w:t xml:space="preserve">Operational Policy:  </w:t>
      </w:r>
      <w:r w:rsidR="00BF4889">
        <w:t xml:space="preserve">Responding to critical compliance events </w:t>
      </w:r>
    </w:p>
    <w:p w:rsidR="007B1255" w:rsidRDefault="00375A96" w:rsidP="007B1255">
      <w:pPr>
        <w:pStyle w:val="AHPRAbody"/>
      </w:pPr>
      <w:r>
        <w:pict>
          <v:rect id="_x0000_i1025" style="width:0;height:1.5pt" o:hralign="center" o:hrstd="t" o:hr="t" fillcolor="#a0a0a0" stroked="f"/>
        </w:pict>
      </w:r>
    </w:p>
    <w:p w:rsidR="00FD2AEF" w:rsidRDefault="00FD2AEF" w:rsidP="00FD2AEF">
      <w:pPr>
        <w:pStyle w:val="AHPRASubheading"/>
        <w:spacing w:before="120" w:after="120"/>
      </w:pPr>
      <w:r>
        <w:t xml:space="preserve">Division: </w:t>
      </w:r>
      <w:r>
        <w:rPr>
          <w:rFonts w:cs="Arial"/>
          <w:color w:val="auto"/>
        </w:rPr>
        <w:t>Compliance</w:t>
      </w:r>
    </w:p>
    <w:p w:rsidR="007B1255" w:rsidRDefault="005C73D1" w:rsidP="00260015">
      <w:pPr>
        <w:pStyle w:val="AHPRASubheading"/>
        <w:spacing w:before="120" w:after="120"/>
      </w:pPr>
      <w:r>
        <w:t>Purpose</w:t>
      </w:r>
      <w:r w:rsidR="00B5265B">
        <w:t xml:space="preserve">  </w:t>
      </w:r>
    </w:p>
    <w:p w:rsidR="00273D09" w:rsidRDefault="00273D09" w:rsidP="00273D0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this policy is to </w:t>
      </w:r>
      <w:r w:rsidR="001115BB">
        <w:rPr>
          <w:rFonts w:ascii="Arial" w:hAnsi="Arial" w:cs="Arial"/>
          <w:sz w:val="20"/>
          <w:szCs w:val="20"/>
        </w:rPr>
        <w:t xml:space="preserve">ensure that </w:t>
      </w:r>
      <w:r w:rsidR="00BF4889">
        <w:rPr>
          <w:rFonts w:ascii="Arial" w:hAnsi="Arial" w:cs="Arial"/>
          <w:sz w:val="20"/>
          <w:szCs w:val="20"/>
        </w:rPr>
        <w:t xml:space="preserve">all critical compliance events </w:t>
      </w:r>
      <w:r w:rsidR="001115BB">
        <w:rPr>
          <w:rFonts w:ascii="Arial" w:hAnsi="Arial" w:cs="Arial"/>
          <w:sz w:val="20"/>
          <w:szCs w:val="20"/>
        </w:rPr>
        <w:t xml:space="preserve">are managed </w:t>
      </w:r>
      <w:r w:rsidR="00275DAB">
        <w:rPr>
          <w:rFonts w:ascii="Arial" w:hAnsi="Arial" w:cs="Arial"/>
          <w:sz w:val="20"/>
          <w:szCs w:val="20"/>
        </w:rPr>
        <w:t xml:space="preserve">consistently, </w:t>
      </w:r>
      <w:r w:rsidR="001115BB">
        <w:rPr>
          <w:rFonts w:ascii="Arial" w:hAnsi="Arial" w:cs="Arial"/>
          <w:sz w:val="20"/>
          <w:szCs w:val="20"/>
        </w:rPr>
        <w:t xml:space="preserve">effectively and in the public interest with oversight by the National Board. </w:t>
      </w:r>
    </w:p>
    <w:p w:rsidR="00060CFA" w:rsidRPr="00060CFA" w:rsidRDefault="00060CFA" w:rsidP="00AE7CA4">
      <w:pPr>
        <w:pStyle w:val="AHPRASubheading"/>
        <w:spacing w:before="120" w:after="120"/>
      </w:pPr>
      <w:r w:rsidRPr="00060CFA">
        <w:t>Background</w:t>
      </w:r>
    </w:p>
    <w:p w:rsidR="008560CE" w:rsidRDefault="008560CE" w:rsidP="008560CE">
      <w:pPr>
        <w:pStyle w:val="AHPRAbody"/>
      </w:pPr>
      <w:r>
        <w:t>Critical compliance events are triggers for a review of the monitoring case, the restrictions in place on the registration and the overall risk posed by the practitioner.  A critical compliance event may indicate that a practitioner is suspected non-compliant or non-compliant with the restrictions on their registration and/or that the restrictions in place on the registration are no longer sufficient to protect the public.</w:t>
      </w:r>
    </w:p>
    <w:p w:rsidR="00060CFA" w:rsidRPr="00AE7CA4" w:rsidRDefault="00060CFA" w:rsidP="00060CFA">
      <w:pPr>
        <w:pStyle w:val="AHPRASubheading"/>
        <w:spacing w:before="120" w:after="120"/>
      </w:pPr>
      <w:r>
        <w:t>Policy statement</w:t>
      </w:r>
    </w:p>
    <w:p w:rsidR="00275DAB" w:rsidRDefault="00275DAB" w:rsidP="00275DAB">
      <w:pPr>
        <w:pStyle w:val="AHPRABulletlevel1"/>
        <w:numPr>
          <w:ilvl w:val="0"/>
          <w:numId w:val="0"/>
        </w:numPr>
        <w:rPr>
          <w:szCs w:val="20"/>
        </w:rPr>
      </w:pPr>
    </w:p>
    <w:p w:rsidR="00C3005F" w:rsidRDefault="00D15DAD" w:rsidP="0090751A">
      <w:pPr>
        <w:pStyle w:val="AHPRABulletlevel1"/>
        <w:numPr>
          <w:ilvl w:val="0"/>
          <w:numId w:val="0"/>
        </w:numPr>
      </w:pPr>
      <w:r>
        <w:t>In a</w:t>
      </w:r>
      <w:r w:rsidR="00B733AC">
        <w:t xml:space="preserve">ll instances of </w:t>
      </w:r>
      <w:r w:rsidR="00BF4889">
        <w:t>critical compliance events,</w:t>
      </w:r>
      <w:r w:rsidR="00060CFA">
        <w:t xml:space="preserve"> </w:t>
      </w:r>
      <w:r>
        <w:t>ri</w:t>
      </w:r>
      <w:r w:rsidR="00C3005F">
        <w:t xml:space="preserve">sk management activities </w:t>
      </w:r>
      <w:r>
        <w:t>must be</w:t>
      </w:r>
      <w:r w:rsidR="00C3005F">
        <w:t xml:space="preserve"> undertaken to: </w:t>
      </w:r>
    </w:p>
    <w:p w:rsidR="00C3005F" w:rsidRDefault="00C3005F" w:rsidP="0090751A">
      <w:pPr>
        <w:pStyle w:val="AHPRABulletlevel1"/>
        <w:numPr>
          <w:ilvl w:val="0"/>
          <w:numId w:val="0"/>
        </w:numPr>
      </w:pPr>
    </w:p>
    <w:p w:rsidR="00912EB0" w:rsidRDefault="00912EB0" w:rsidP="00C3005F">
      <w:pPr>
        <w:pStyle w:val="AHPRABulletlevel1"/>
      </w:pPr>
      <w:r>
        <w:t>gather further information to appropriately inform assessment of the situation specific risk</w:t>
      </w:r>
    </w:p>
    <w:p w:rsidR="00C3005F" w:rsidRDefault="00912EB0" w:rsidP="00C3005F">
      <w:pPr>
        <w:pStyle w:val="AHPRABulletlevel1"/>
      </w:pPr>
      <w:r>
        <w:t xml:space="preserve"> </w:t>
      </w:r>
      <w:r w:rsidR="00C3005F">
        <w:t xml:space="preserve">manage the risks associated with the </w:t>
      </w:r>
      <w:r w:rsidR="002E6A30">
        <w:t>suspected critical compliance</w:t>
      </w:r>
      <w:r w:rsidR="00BF4889">
        <w:t>, critical compliance event.</w:t>
      </w:r>
    </w:p>
    <w:p w:rsidR="0012514B" w:rsidRPr="0012514B" w:rsidRDefault="0012514B" w:rsidP="0012514B">
      <w:pPr>
        <w:pStyle w:val="AHPRABulletlevel1"/>
        <w:numPr>
          <w:ilvl w:val="0"/>
          <w:numId w:val="0"/>
        </w:numPr>
        <w:rPr>
          <w:szCs w:val="20"/>
        </w:rPr>
      </w:pPr>
    </w:p>
    <w:p w:rsidR="00C3005F" w:rsidRDefault="00C3005F" w:rsidP="00C3005F">
      <w:pPr>
        <w:pStyle w:val="AHPRAbody"/>
      </w:pPr>
      <w:r>
        <w:t xml:space="preserve">Risk management must be </w:t>
      </w:r>
      <w:r w:rsidRPr="008E082F">
        <w:t xml:space="preserve">consistent with the risk </w:t>
      </w:r>
      <w:r>
        <w:t xml:space="preserve">the </w:t>
      </w:r>
      <w:r w:rsidR="00BF4889">
        <w:t xml:space="preserve">critical compliance event </w:t>
      </w:r>
      <w:r w:rsidR="00275DAB">
        <w:t>pose</w:t>
      </w:r>
      <w:r w:rsidR="003A32B3">
        <w:t>s</w:t>
      </w:r>
      <w:r w:rsidR="00275DAB">
        <w:t xml:space="preserve"> or may </w:t>
      </w:r>
      <w:r>
        <w:t xml:space="preserve">pose to the public. Where an operational policy exists for the types of restrictions being monitored, the </w:t>
      </w:r>
      <w:r w:rsidR="00BF4889">
        <w:t xml:space="preserve">response </w:t>
      </w:r>
      <w:proofErr w:type="gramStart"/>
      <w:r w:rsidR="00BF4889">
        <w:t xml:space="preserve">to </w:t>
      </w:r>
      <w:r>
        <w:t xml:space="preserve"> the</w:t>
      </w:r>
      <w:proofErr w:type="gramEnd"/>
      <w:r>
        <w:t xml:space="preserve"> critical compliance event must be undertaken in accordance with the policy.</w:t>
      </w:r>
    </w:p>
    <w:p w:rsidR="001115BB" w:rsidRDefault="0041697D" w:rsidP="0090751A">
      <w:pPr>
        <w:pStyle w:val="AHPRABulletlevel1"/>
        <w:numPr>
          <w:ilvl w:val="0"/>
          <w:numId w:val="0"/>
        </w:numPr>
      </w:pPr>
      <w:r>
        <w:t>The risk management activity must be recorded in the compliance status commentary in accordance with the procedure: Recording a compliance status</w:t>
      </w:r>
      <w:r w:rsidR="00C3005F">
        <w:t xml:space="preserve"> in order to ensure </w:t>
      </w:r>
      <w:r w:rsidR="00C3005F">
        <w:rPr>
          <w:szCs w:val="20"/>
        </w:rPr>
        <w:t>accurate reporting to the National Board</w:t>
      </w:r>
      <w:r>
        <w:t xml:space="preserve">. </w:t>
      </w:r>
    </w:p>
    <w:p w:rsidR="0041697D" w:rsidRDefault="0041697D" w:rsidP="0090751A">
      <w:pPr>
        <w:pStyle w:val="AHPRABulletlevel1"/>
        <w:numPr>
          <w:ilvl w:val="0"/>
          <w:numId w:val="0"/>
        </w:numPr>
      </w:pPr>
    </w:p>
    <w:p w:rsidR="0041697D" w:rsidRDefault="0041697D" w:rsidP="0090751A">
      <w:pPr>
        <w:pStyle w:val="AHPRABulletlevel1"/>
        <w:numPr>
          <w:ilvl w:val="0"/>
          <w:numId w:val="0"/>
        </w:numPr>
      </w:pPr>
      <w:r>
        <w:t xml:space="preserve">At a minimum risk management activity must be undertaken as follows: </w:t>
      </w:r>
    </w:p>
    <w:p w:rsidR="00C3005F" w:rsidRPr="00C3005F" w:rsidRDefault="00C3005F" w:rsidP="00C3005F">
      <w:pPr>
        <w:pStyle w:val="AHPRABulletlevel1"/>
        <w:numPr>
          <w:ilvl w:val="0"/>
          <w:numId w:val="0"/>
        </w:numPr>
        <w:rPr>
          <w:b/>
        </w:rPr>
      </w:pPr>
    </w:p>
    <w:p w:rsidR="0041697D" w:rsidRDefault="00B5660B" w:rsidP="00060CFA">
      <w:pPr>
        <w:pStyle w:val="AHPRAbody"/>
        <w:numPr>
          <w:ilvl w:val="0"/>
          <w:numId w:val="15"/>
        </w:numPr>
        <w:rPr>
          <w:b/>
        </w:rPr>
      </w:pPr>
      <w:r>
        <w:rPr>
          <w:b/>
        </w:rPr>
        <w:t xml:space="preserve">Notify practitioner </w:t>
      </w:r>
    </w:p>
    <w:p w:rsidR="00B5660B" w:rsidRDefault="00B5660B" w:rsidP="00B5660B">
      <w:pPr>
        <w:pStyle w:val="AHPRAbody"/>
      </w:pPr>
      <w:r>
        <w:t>Case officers must notify the</w:t>
      </w:r>
      <w:r w:rsidR="00060CFA">
        <w:t xml:space="preserve"> Practitioner</w:t>
      </w:r>
      <w:r>
        <w:t xml:space="preserve"> </w:t>
      </w:r>
      <w:r w:rsidR="00BF4889">
        <w:t>of the occurrence of a critical compliance event</w:t>
      </w:r>
      <w:r>
        <w:t xml:space="preserve">. This activity is mandatory and must be in written correspondence outlining the details of the </w:t>
      </w:r>
      <w:r w:rsidR="00BF4889">
        <w:t>critical compliance event</w:t>
      </w:r>
      <w:r>
        <w:t xml:space="preserve">. </w:t>
      </w:r>
    </w:p>
    <w:p w:rsidR="00B5660B" w:rsidRPr="00B5660B" w:rsidRDefault="00B5660B" w:rsidP="00B5660B">
      <w:pPr>
        <w:pStyle w:val="AHPRAbody"/>
      </w:pPr>
      <w:r>
        <w:t xml:space="preserve">In circumstances where the </w:t>
      </w:r>
      <w:r w:rsidR="00BF4889">
        <w:t xml:space="preserve">critical compliance event </w:t>
      </w:r>
      <w:r>
        <w:t xml:space="preserve">poses a serious and immediate risk to the public, and in which the AHPRA recommendation is to take immediate action under Part 8 of the National Law, case officers are not required to notify the practitioner of the fact of the </w:t>
      </w:r>
      <w:r w:rsidR="003B18E7">
        <w:t xml:space="preserve">critical compliance event </w:t>
      </w:r>
      <w:r>
        <w:t xml:space="preserve">prior to consideration by the National Board. </w:t>
      </w:r>
    </w:p>
    <w:p w:rsidR="00B5660B" w:rsidRDefault="00B5660B" w:rsidP="00060CFA">
      <w:pPr>
        <w:pStyle w:val="AHPRAbody"/>
        <w:numPr>
          <w:ilvl w:val="0"/>
          <w:numId w:val="15"/>
        </w:numPr>
        <w:rPr>
          <w:b/>
        </w:rPr>
      </w:pPr>
      <w:r>
        <w:rPr>
          <w:b/>
        </w:rPr>
        <w:t xml:space="preserve">Escalation to the National Board </w:t>
      </w:r>
    </w:p>
    <w:p w:rsidR="00B5660B" w:rsidRDefault="00B5660B" w:rsidP="00B5660B">
      <w:pPr>
        <w:pStyle w:val="AHPRABulletlevel1"/>
        <w:numPr>
          <w:ilvl w:val="0"/>
          <w:numId w:val="0"/>
        </w:numPr>
      </w:pPr>
      <w:r>
        <w:t xml:space="preserve">All </w:t>
      </w:r>
      <w:r w:rsidR="00BF4889">
        <w:t>critical compliance events</w:t>
      </w:r>
      <w:r>
        <w:t xml:space="preserve"> must be </w:t>
      </w:r>
      <w:r w:rsidR="00BF4889">
        <w:t xml:space="preserve">notified </w:t>
      </w:r>
      <w:r>
        <w:t xml:space="preserve">to the National Board </w:t>
      </w:r>
      <w:r w:rsidR="00060CFA">
        <w:t xml:space="preserve">either for noting or </w:t>
      </w:r>
      <w:r>
        <w:t>for a decision in relation to</w:t>
      </w:r>
      <w:r w:rsidR="00060CFA">
        <w:t xml:space="preserve"> a recommendation to take action</w:t>
      </w:r>
      <w:r w:rsidR="00BF4889">
        <w:t xml:space="preserve">, in accordance with the </w:t>
      </w:r>
      <w:r w:rsidR="00BF4889" w:rsidRPr="00BF4889">
        <w:rPr>
          <w:i/>
        </w:rPr>
        <w:t xml:space="preserve">Guideline:  </w:t>
      </w:r>
      <w:r w:rsidR="00BF4889" w:rsidRPr="00BF4889">
        <w:rPr>
          <w:i/>
          <w:noProof/>
          <w:lang w:val="en-GB" w:eastAsia="en-GB"/>
        </w:rPr>
        <w:t>Managing and responding to critical compliance events</w:t>
      </w:r>
      <w:r>
        <w:t xml:space="preserve">. </w:t>
      </w:r>
      <w:r w:rsidR="003B18E7">
        <w:t xml:space="preserve">Notification to the National Board may be via an agenda paper with a recommendation or via an automatically generated reporting for noting. </w:t>
      </w:r>
    </w:p>
    <w:p w:rsidR="00B5660B" w:rsidRDefault="00B5660B" w:rsidP="00060CFA">
      <w:pPr>
        <w:pStyle w:val="AHPRABulletlevel1"/>
        <w:numPr>
          <w:ilvl w:val="0"/>
          <w:numId w:val="0"/>
        </w:numPr>
      </w:pPr>
    </w:p>
    <w:p w:rsidR="00381480" w:rsidRDefault="00B5660B" w:rsidP="0012514B">
      <w:pPr>
        <w:pStyle w:val="AHPRAbody"/>
      </w:pPr>
      <w:r>
        <w:t xml:space="preserve">Recommendations to the National Board must be guided by the Regulatory Principles for the National Scheme and the </w:t>
      </w:r>
      <w:r w:rsidR="00BF4889">
        <w:t>G</w:t>
      </w:r>
      <w:r>
        <w:t xml:space="preserve">uideline: Managing </w:t>
      </w:r>
      <w:r w:rsidR="00BF4889">
        <w:t xml:space="preserve">and responding to critical compliance events </w:t>
      </w:r>
      <w:r>
        <w:t xml:space="preserve">and have regard for the specific circumstances of the </w:t>
      </w:r>
      <w:r w:rsidR="00BF4889">
        <w:t>critical compliance event</w:t>
      </w:r>
      <w:r>
        <w:t xml:space="preserve"> including risk indicators and risk mitigating factors.</w:t>
      </w:r>
    </w:p>
    <w:p w:rsidR="001115BB" w:rsidRPr="00273D09" w:rsidRDefault="00B5660B" w:rsidP="0012514B">
      <w:pPr>
        <w:pStyle w:val="AHPRAbody"/>
      </w:pPr>
      <w:r>
        <w:t xml:space="preserve"> </w:t>
      </w:r>
    </w:p>
    <w:p w:rsidR="00FD2AEF" w:rsidRPr="00A14995" w:rsidRDefault="00FD2AEF" w:rsidP="00FD2AEF">
      <w:pPr>
        <w:pStyle w:val="AHPRASubheading"/>
        <w:spacing w:before="120" w:after="120"/>
      </w:pPr>
      <w:r>
        <w:lastRenderedPageBreak/>
        <w:t>Scope</w:t>
      </w:r>
      <w:r w:rsidRPr="00A14995">
        <w:t>, evaluation and review</w:t>
      </w:r>
    </w:p>
    <w:p w:rsidR="00FD2AEF" w:rsidRDefault="00FD2AEF" w:rsidP="00FD2AEF">
      <w:pPr>
        <w:pStyle w:val="AHPRAbody"/>
        <w:spacing w:after="120"/>
        <w:rPr>
          <w:i/>
        </w:rPr>
      </w:pPr>
      <w:r w:rsidRPr="009F39A2">
        <w:t xml:space="preserve">This </w:t>
      </w:r>
      <w:r>
        <w:t xml:space="preserve">operational </w:t>
      </w:r>
      <w:r w:rsidRPr="009F39A2">
        <w:t xml:space="preserve">policy </w:t>
      </w:r>
      <w:r>
        <w:t xml:space="preserve">is established in accordance with </w:t>
      </w:r>
      <w:r w:rsidRPr="003B11CA">
        <w:rPr>
          <w:i/>
        </w:rPr>
        <w:t>Operational Guidance Framework</w:t>
      </w:r>
      <w:r>
        <w:t xml:space="preserve">. It must be used </w:t>
      </w:r>
      <w:r w:rsidRPr="009F39A2">
        <w:t>and complied with by all relevant Regulatory Operations staff</w:t>
      </w:r>
      <w:r>
        <w:t xml:space="preserve"> and decision makers</w:t>
      </w:r>
      <w:r>
        <w:rPr>
          <w:i/>
        </w:rPr>
        <w:t xml:space="preserve">. </w:t>
      </w:r>
    </w:p>
    <w:p w:rsidR="00FD2AEF" w:rsidRPr="00A14995" w:rsidRDefault="00FD2AEF" w:rsidP="00FD2AEF">
      <w:pPr>
        <w:pStyle w:val="AHPRAbody"/>
      </w:pPr>
      <w:r>
        <w:t xml:space="preserve">This operational policy will be reviewed </w:t>
      </w:r>
      <w:r w:rsidR="008731C2">
        <w:t>annually</w:t>
      </w:r>
      <w:r w:rsidRPr="00A14995">
        <w:t>.</w:t>
      </w:r>
    </w:p>
    <w:p w:rsidR="00A14995" w:rsidRDefault="008731C2" w:rsidP="00260015">
      <w:pPr>
        <w:pStyle w:val="AHPRASubheading"/>
        <w:spacing w:before="120" w:after="120"/>
      </w:pPr>
      <w:r>
        <w:t>References</w:t>
      </w:r>
    </w:p>
    <w:p w:rsidR="00D3373B" w:rsidRDefault="00912EB0" w:rsidP="00912EB0">
      <w:pPr>
        <w:pStyle w:val="AHPRABulletlevel1"/>
        <w:numPr>
          <w:ilvl w:val="0"/>
          <w:numId w:val="0"/>
        </w:numPr>
        <w:ind w:left="369" w:hanging="369"/>
      </w:pPr>
      <w:r>
        <w:t>Procedure: Recording a compliances status</w:t>
      </w:r>
    </w:p>
    <w:p w:rsidR="00060CFA" w:rsidRDefault="00912EB0" w:rsidP="00912EB0">
      <w:pPr>
        <w:pStyle w:val="AHPRABulletlevel1"/>
        <w:numPr>
          <w:ilvl w:val="0"/>
          <w:numId w:val="0"/>
        </w:numPr>
        <w:ind w:left="369" w:hanging="369"/>
      </w:pPr>
      <w:r>
        <w:t xml:space="preserve">Guideline: Managing </w:t>
      </w:r>
      <w:r w:rsidR="00BF4889">
        <w:t>and responding to critical compliance events.</w:t>
      </w:r>
      <w:r w:rsidR="00BF4889" w:rsidDel="00BF4889">
        <w:t xml:space="preserve"> </w:t>
      </w:r>
    </w:p>
    <w:p w:rsidR="00912EB0" w:rsidRDefault="00912EB0" w:rsidP="00912EB0">
      <w:pPr>
        <w:pStyle w:val="AHPRABulletlevel1"/>
        <w:numPr>
          <w:ilvl w:val="0"/>
          <w:numId w:val="0"/>
        </w:numPr>
        <w:ind w:left="369" w:hanging="369"/>
      </w:pPr>
    </w:p>
    <w:p w:rsidR="00464A9B" w:rsidRPr="00060CFA" w:rsidRDefault="00A14995">
      <w:pPr>
        <w:pStyle w:val="AHPRABulletlevel1"/>
        <w:numPr>
          <w:ilvl w:val="0"/>
          <w:numId w:val="0"/>
        </w:numPr>
        <w:ind w:left="369" w:hanging="369"/>
        <w:rPr>
          <w:b/>
          <w:color w:val="007DC3"/>
        </w:rPr>
      </w:pPr>
      <w:r w:rsidRPr="00060CFA">
        <w:rPr>
          <w:b/>
          <w:color w:val="007DC3"/>
        </w:rPr>
        <w:t>Policy Sponsor</w:t>
      </w:r>
    </w:p>
    <w:p w:rsidR="009F39A2" w:rsidRDefault="009F39A2" w:rsidP="00273D09">
      <w:pPr>
        <w:pStyle w:val="AHPRAbody"/>
      </w:pPr>
      <w:r w:rsidRPr="009F39A2">
        <w:t>National Directo</w:t>
      </w:r>
      <w:r w:rsidRPr="00273D09">
        <w:t xml:space="preserve">r Compliance </w:t>
      </w:r>
    </w:p>
    <w:p w:rsidR="00A14995" w:rsidRDefault="00A14995" w:rsidP="00260015">
      <w:pPr>
        <w:pStyle w:val="AHPRASubheading"/>
        <w:spacing w:before="120" w:after="120"/>
      </w:pPr>
      <w:r>
        <w:t>Approved by</w:t>
      </w:r>
    </w:p>
    <w:p w:rsidR="00A14995" w:rsidRPr="009F39A2" w:rsidRDefault="00A14995" w:rsidP="00260015">
      <w:pPr>
        <w:pStyle w:val="AHPRASubheading"/>
        <w:spacing w:before="120" w:after="0"/>
        <w:rPr>
          <w:rFonts w:cs="Arial"/>
          <w:b w:val="0"/>
          <w:color w:val="auto"/>
        </w:rPr>
      </w:pPr>
      <w:r w:rsidRPr="009F39A2">
        <w:rPr>
          <w:rFonts w:cs="Arial"/>
          <w:b w:val="0"/>
          <w:color w:val="auto"/>
        </w:rPr>
        <w:t xml:space="preserve">Executive </w:t>
      </w:r>
      <w:r w:rsidR="009F39A2" w:rsidRPr="009F39A2">
        <w:rPr>
          <w:rFonts w:cs="Arial"/>
          <w:b w:val="0"/>
          <w:color w:val="auto"/>
        </w:rPr>
        <w:t>Director</w:t>
      </w:r>
      <w:r w:rsidRPr="009F39A2">
        <w:rPr>
          <w:rFonts w:cs="Arial"/>
          <w:b w:val="0"/>
          <w:color w:val="auto"/>
        </w:rPr>
        <w:t xml:space="preserve">, </w:t>
      </w:r>
      <w:r w:rsidR="009F39A2" w:rsidRPr="009F39A2">
        <w:rPr>
          <w:rFonts w:cs="Arial"/>
          <w:b w:val="0"/>
          <w:color w:val="auto"/>
        </w:rPr>
        <w:t>Regulatory</w:t>
      </w:r>
      <w:r w:rsidRPr="009F39A2">
        <w:rPr>
          <w:rFonts w:cs="Arial"/>
          <w:b w:val="0"/>
          <w:color w:val="auto"/>
        </w:rPr>
        <w:t xml:space="preserve"> Operations</w:t>
      </w:r>
    </w:p>
    <w:p w:rsidR="009F39A2" w:rsidRPr="00A14995" w:rsidRDefault="00260015" w:rsidP="00260015">
      <w:pPr>
        <w:pStyle w:val="AHPRASubheading"/>
        <w:spacing w:before="120" w:after="120"/>
      </w:pPr>
      <w:r>
        <w:t>Effective date</w:t>
      </w:r>
    </w:p>
    <w:p w:rsidR="00A14995" w:rsidRPr="00260015" w:rsidRDefault="00260015" w:rsidP="00260015">
      <w:pPr>
        <w:pStyle w:val="AHPRASubheading"/>
        <w:spacing w:before="120" w:after="0"/>
        <w:rPr>
          <w:rFonts w:cs="Arial"/>
          <w:b w:val="0"/>
          <w:i/>
          <w:color w:val="auto"/>
        </w:rPr>
      </w:pPr>
      <w:r w:rsidRPr="00260015">
        <w:rPr>
          <w:rFonts w:cs="Arial"/>
          <w:b w:val="0"/>
          <w:color w:val="auto"/>
        </w:rPr>
        <w:t>This policy is effective from</w:t>
      </w:r>
      <w:r w:rsidR="00381480">
        <w:rPr>
          <w:rFonts w:cs="Arial"/>
          <w:b w:val="0"/>
          <w:color w:val="auto"/>
        </w:rPr>
        <w:t xml:space="preserve"> </w:t>
      </w:r>
      <w:r w:rsidR="00381480" w:rsidRPr="00381480">
        <w:rPr>
          <w:rFonts w:cs="Arial"/>
          <w:b w:val="0"/>
          <w:color w:val="auto"/>
        </w:rPr>
        <w:t>July 2018</w:t>
      </w:r>
      <w:r w:rsidR="00CB59A9">
        <w:rPr>
          <w:rFonts w:cs="Arial"/>
          <w:b w:val="0"/>
          <w:i/>
          <w:color w:val="auto"/>
        </w:rPr>
        <w:t>.</w:t>
      </w:r>
    </w:p>
    <w:p w:rsidR="001C4D36" w:rsidRPr="00EA0E39" w:rsidRDefault="00B5265B" w:rsidP="00EA0E39">
      <w:pPr>
        <w:pStyle w:val="AHPRANumberedlistlevel1"/>
        <w:numPr>
          <w:ilvl w:val="0"/>
          <w:numId w:val="0"/>
        </w:numPr>
        <w:spacing w:after="200"/>
        <w:ind w:left="369" w:hanging="369"/>
        <w:rPr>
          <w:i/>
        </w:rPr>
      </w:pPr>
      <w:r>
        <w:rPr>
          <w:i/>
        </w:rPr>
        <w:t xml:space="preserve"> </w:t>
      </w:r>
    </w:p>
    <w:sectPr w:rsidR="001C4D36" w:rsidRPr="00EA0E39" w:rsidSect="0026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2" w:right="1268" w:bottom="1134" w:left="1134" w:header="340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A96" w:rsidRDefault="00375A96" w:rsidP="00FC2881">
      <w:pPr>
        <w:spacing w:after="0"/>
      </w:pPr>
      <w:r>
        <w:separator/>
      </w:r>
    </w:p>
    <w:p w:rsidR="00375A96" w:rsidRDefault="00375A96"/>
  </w:endnote>
  <w:endnote w:type="continuationSeparator" w:id="0">
    <w:p w:rsidR="00375A96" w:rsidRDefault="00375A96" w:rsidP="00FC2881">
      <w:pPr>
        <w:spacing w:after="0"/>
      </w:pPr>
      <w:r>
        <w:continuationSeparator/>
      </w:r>
    </w:p>
    <w:p w:rsidR="00375A96" w:rsidRDefault="00375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CE" w:rsidRDefault="00464A9B" w:rsidP="00FC2881">
    <w:pPr>
      <w:pStyle w:val="Footer"/>
      <w:framePr w:wrap="around" w:vAnchor="text" w:hAnchor="margin" w:xAlign="right" w:y="1"/>
    </w:pPr>
    <w:r>
      <w:fldChar w:fldCharType="begin"/>
    </w:r>
    <w:r w:rsidR="008560CE">
      <w:instrText xml:space="preserve">PAGE  </w:instrText>
    </w:r>
    <w:r>
      <w:fldChar w:fldCharType="end"/>
    </w:r>
  </w:p>
  <w:p w:rsidR="008560CE" w:rsidRDefault="008560CE" w:rsidP="00FC2881">
    <w:pPr>
      <w:pStyle w:val="Footer"/>
      <w:ind w:right="360"/>
    </w:pPr>
  </w:p>
  <w:p w:rsidR="008560CE" w:rsidRDefault="008560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CE" w:rsidRDefault="008560CE" w:rsidP="001F5D09">
    <w:pPr>
      <w:pStyle w:val="AHPRAfooter"/>
      <w:spacing w:after="0"/>
      <w:jc w:val="left"/>
      <w:rPr>
        <w:szCs w:val="16"/>
      </w:rPr>
    </w:pPr>
    <w:r>
      <w:rPr>
        <w:szCs w:val="16"/>
      </w:rPr>
      <w:t>Regul</w:t>
    </w:r>
    <w:r w:rsidR="008E3260">
      <w:rPr>
        <w:szCs w:val="16"/>
      </w:rPr>
      <w:t xml:space="preserve">atory Operations </w:t>
    </w:r>
    <w:r w:rsidR="00381480">
      <w:rPr>
        <w:szCs w:val="16"/>
      </w:rPr>
      <w:t xml:space="preserve">Directorate: Operational Policy: Managing critical compliance events </w:t>
    </w:r>
  </w:p>
  <w:p w:rsidR="008560CE" w:rsidRPr="001F5D09" w:rsidRDefault="00375A96" w:rsidP="001F5D09">
    <w:pPr>
      <w:pStyle w:val="AHPRApagenumber"/>
      <w:jc w:val="right"/>
      <w:rPr>
        <w:b w:val="0"/>
      </w:rPr>
    </w:pPr>
    <w:sdt>
      <w:sdtPr>
        <w:id w:val="-968424057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="00464A9B" w:rsidRPr="001F5D09">
          <w:rPr>
            <w:b w:val="0"/>
          </w:rPr>
          <w:fldChar w:fldCharType="begin"/>
        </w:r>
        <w:r w:rsidR="008560CE" w:rsidRPr="001F5D09">
          <w:rPr>
            <w:b w:val="0"/>
          </w:rPr>
          <w:instrText xml:space="preserve"> PAGE </w:instrText>
        </w:r>
        <w:r w:rsidR="00464A9B" w:rsidRPr="001F5D09">
          <w:rPr>
            <w:b w:val="0"/>
          </w:rPr>
          <w:fldChar w:fldCharType="separate"/>
        </w:r>
        <w:r w:rsidR="00253AFD">
          <w:rPr>
            <w:b w:val="0"/>
            <w:noProof/>
          </w:rPr>
          <w:t>2</w:t>
        </w:r>
        <w:r w:rsidR="00464A9B" w:rsidRPr="001F5D09">
          <w:rPr>
            <w:b w:val="0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CE" w:rsidRPr="001F5D09" w:rsidRDefault="008560CE" w:rsidP="00260015">
    <w:pPr>
      <w:pStyle w:val="AHPRApagenumber"/>
      <w:jc w:val="left"/>
      <w:rPr>
        <w:b w:val="0"/>
      </w:rPr>
    </w:pPr>
    <w:r w:rsidRPr="00260015">
      <w:rPr>
        <w:b w:val="0"/>
      </w:rPr>
      <w:t>Regulatory Operations Directorate: Operational Policy</w:t>
    </w:r>
    <w:sdt>
      <w:sdtPr>
        <w:id w:val="16333165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>
          <w:tab/>
        </w:r>
        <w:r w:rsidR="00381480">
          <w:t xml:space="preserve">: </w:t>
        </w:r>
        <w:r w:rsidR="00381480" w:rsidRPr="00381480">
          <w:rPr>
            <w:b w:val="0"/>
          </w:rPr>
          <w:t>Managing critical compliance events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464A9B" w:rsidRPr="001F5D09">
          <w:rPr>
            <w:b w:val="0"/>
          </w:rPr>
          <w:fldChar w:fldCharType="begin"/>
        </w:r>
        <w:r w:rsidRPr="001F5D09">
          <w:rPr>
            <w:b w:val="0"/>
          </w:rPr>
          <w:instrText xml:space="preserve"> PAGE </w:instrText>
        </w:r>
        <w:r w:rsidR="00464A9B" w:rsidRPr="001F5D09">
          <w:rPr>
            <w:b w:val="0"/>
          </w:rPr>
          <w:fldChar w:fldCharType="separate"/>
        </w:r>
        <w:r w:rsidR="00253AFD">
          <w:rPr>
            <w:b w:val="0"/>
            <w:noProof/>
          </w:rPr>
          <w:t>1</w:t>
        </w:r>
        <w:r w:rsidR="00464A9B" w:rsidRPr="001F5D09">
          <w:rPr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A96" w:rsidRDefault="00375A96" w:rsidP="00FC2881">
      <w:pPr>
        <w:spacing w:after="0"/>
      </w:pPr>
      <w:r>
        <w:separator/>
      </w:r>
    </w:p>
    <w:p w:rsidR="00375A96" w:rsidRDefault="00375A96"/>
  </w:footnote>
  <w:footnote w:type="continuationSeparator" w:id="0">
    <w:p w:rsidR="00375A96" w:rsidRDefault="00375A96" w:rsidP="00FC2881">
      <w:pPr>
        <w:spacing w:after="0"/>
      </w:pPr>
      <w:r>
        <w:continuationSeparator/>
      </w:r>
    </w:p>
    <w:p w:rsidR="00375A96" w:rsidRDefault="00375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80" w:rsidRDefault="00381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CE" w:rsidRPr="00315933" w:rsidRDefault="008560CE" w:rsidP="00D638E0">
    <w:pPr>
      <w:ind w:left="-1134" w:right="-567"/>
      <w:jc w:val="right"/>
    </w:pPr>
  </w:p>
  <w:p w:rsidR="008560CE" w:rsidRDefault="008560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CE" w:rsidRDefault="008560CE" w:rsidP="00184D9F">
    <w:pPr>
      <w:tabs>
        <w:tab w:val="left" w:pos="6840"/>
        <w:tab w:val="left" w:pos="79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3194685</wp:posOffset>
          </wp:positionH>
          <wp:positionV relativeFrom="paragraph">
            <wp:posOffset>-8255</wp:posOffset>
          </wp:positionV>
          <wp:extent cx="3524250" cy="1076325"/>
          <wp:effectExtent l="0" t="0" r="0" b="0"/>
          <wp:wrapNone/>
          <wp:docPr id="2" name="Picture 1" descr="AHPRA and National Boards logo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battenhaussen\AppData\Local\Microsoft\Windows\Temporary Internet Files\Content.Outlook\ZW7MYLST\Logos AHPRA + 14 Boards Colou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8560CE" w:rsidRDefault="008560CE" w:rsidP="00184D9F">
    <w:pPr>
      <w:tabs>
        <w:tab w:val="left" w:pos="8115"/>
      </w:tabs>
    </w:pPr>
    <w:r>
      <w:tab/>
    </w:r>
  </w:p>
  <w:p w:rsidR="008560CE" w:rsidRDefault="008560CE" w:rsidP="00E844A0"/>
  <w:p w:rsidR="008560CE" w:rsidRDefault="008560CE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0CD"/>
    <w:multiLevelType w:val="multilevel"/>
    <w:tmpl w:val="74C8BB40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862165"/>
    <w:multiLevelType w:val="multilevel"/>
    <w:tmpl w:val="AF26D25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2" w15:restartNumberingAfterBreak="0">
    <w:nsid w:val="170C507A"/>
    <w:multiLevelType w:val="multilevel"/>
    <w:tmpl w:val="74C8BB40"/>
    <w:numStyleLink w:val="AHPRANumberedlist"/>
  </w:abstractNum>
  <w:abstractNum w:abstractNumId="3" w15:restartNumberingAfterBreak="0">
    <w:nsid w:val="18C147DC"/>
    <w:multiLevelType w:val="hybridMultilevel"/>
    <w:tmpl w:val="2F38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FC9"/>
    <w:multiLevelType w:val="hybridMultilevel"/>
    <w:tmpl w:val="94061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3CD4"/>
    <w:multiLevelType w:val="hybridMultilevel"/>
    <w:tmpl w:val="E32EE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11EF"/>
    <w:multiLevelType w:val="hybridMultilevel"/>
    <w:tmpl w:val="7E18F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69A4"/>
    <w:multiLevelType w:val="hybridMultilevel"/>
    <w:tmpl w:val="4D006268"/>
    <w:lvl w:ilvl="0" w:tplc="A5624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A1353B"/>
    <w:multiLevelType w:val="hybridMultilevel"/>
    <w:tmpl w:val="65562C7E"/>
    <w:lvl w:ilvl="0" w:tplc="B9C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53DF3"/>
    <w:multiLevelType w:val="hybridMultilevel"/>
    <w:tmpl w:val="68D29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854D3"/>
    <w:multiLevelType w:val="hybridMultilevel"/>
    <w:tmpl w:val="8640B630"/>
    <w:lvl w:ilvl="0" w:tplc="4F42F13E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C2D"/>
    <w:rsid w:val="00000033"/>
    <w:rsid w:val="00001830"/>
    <w:rsid w:val="00006922"/>
    <w:rsid w:val="00023B2D"/>
    <w:rsid w:val="000334D7"/>
    <w:rsid w:val="0004149A"/>
    <w:rsid w:val="00060CFA"/>
    <w:rsid w:val="00063E37"/>
    <w:rsid w:val="00064B4C"/>
    <w:rsid w:val="00071439"/>
    <w:rsid w:val="0007422B"/>
    <w:rsid w:val="000945FB"/>
    <w:rsid w:val="000A6BF7"/>
    <w:rsid w:val="000B36A5"/>
    <w:rsid w:val="000D7CFA"/>
    <w:rsid w:val="0010139F"/>
    <w:rsid w:val="001017A4"/>
    <w:rsid w:val="001115BB"/>
    <w:rsid w:val="00114F51"/>
    <w:rsid w:val="00120D61"/>
    <w:rsid w:val="0012514B"/>
    <w:rsid w:val="00144DEF"/>
    <w:rsid w:val="001706EB"/>
    <w:rsid w:val="0017334B"/>
    <w:rsid w:val="00184D9F"/>
    <w:rsid w:val="00195912"/>
    <w:rsid w:val="001A6F49"/>
    <w:rsid w:val="001B1CCA"/>
    <w:rsid w:val="001B1CD1"/>
    <w:rsid w:val="001B555E"/>
    <w:rsid w:val="001B5AE1"/>
    <w:rsid w:val="001C425C"/>
    <w:rsid w:val="001C4D36"/>
    <w:rsid w:val="001E1E31"/>
    <w:rsid w:val="001E2849"/>
    <w:rsid w:val="001E4A94"/>
    <w:rsid w:val="001E5621"/>
    <w:rsid w:val="001F4455"/>
    <w:rsid w:val="001F5D09"/>
    <w:rsid w:val="00220A3B"/>
    <w:rsid w:val="00227CDB"/>
    <w:rsid w:val="00234BFA"/>
    <w:rsid w:val="00243FC3"/>
    <w:rsid w:val="00253654"/>
    <w:rsid w:val="00253AFD"/>
    <w:rsid w:val="00260015"/>
    <w:rsid w:val="00273D09"/>
    <w:rsid w:val="00275DAB"/>
    <w:rsid w:val="0028013F"/>
    <w:rsid w:val="0028404A"/>
    <w:rsid w:val="00286D9B"/>
    <w:rsid w:val="00295B44"/>
    <w:rsid w:val="00295C3E"/>
    <w:rsid w:val="002A51EC"/>
    <w:rsid w:val="002B13F3"/>
    <w:rsid w:val="002B2D48"/>
    <w:rsid w:val="002C08FB"/>
    <w:rsid w:val="002C2107"/>
    <w:rsid w:val="002C34EA"/>
    <w:rsid w:val="002D37A5"/>
    <w:rsid w:val="002E6A30"/>
    <w:rsid w:val="00303BE1"/>
    <w:rsid w:val="00305AFC"/>
    <w:rsid w:val="00311047"/>
    <w:rsid w:val="00315592"/>
    <w:rsid w:val="003260ED"/>
    <w:rsid w:val="003354E4"/>
    <w:rsid w:val="00342B35"/>
    <w:rsid w:val="00375A96"/>
    <w:rsid w:val="0038131A"/>
    <w:rsid w:val="00381480"/>
    <w:rsid w:val="003A32B3"/>
    <w:rsid w:val="003B18E7"/>
    <w:rsid w:val="003C610F"/>
    <w:rsid w:val="003D476C"/>
    <w:rsid w:val="003D6DBD"/>
    <w:rsid w:val="003E00B5"/>
    <w:rsid w:val="003E17AB"/>
    <w:rsid w:val="003E17FE"/>
    <w:rsid w:val="003E1925"/>
    <w:rsid w:val="003E3268"/>
    <w:rsid w:val="003F2F06"/>
    <w:rsid w:val="00405C0A"/>
    <w:rsid w:val="00412CEE"/>
    <w:rsid w:val="00413C58"/>
    <w:rsid w:val="00414034"/>
    <w:rsid w:val="00414F2C"/>
    <w:rsid w:val="0041697D"/>
    <w:rsid w:val="00450B34"/>
    <w:rsid w:val="004606A7"/>
    <w:rsid w:val="00464A9B"/>
    <w:rsid w:val="0047520C"/>
    <w:rsid w:val="004A042D"/>
    <w:rsid w:val="004A5E5D"/>
    <w:rsid w:val="004B747B"/>
    <w:rsid w:val="004C3C5B"/>
    <w:rsid w:val="004C64E0"/>
    <w:rsid w:val="004D1BA5"/>
    <w:rsid w:val="004D3649"/>
    <w:rsid w:val="004D3F5A"/>
    <w:rsid w:val="004D7537"/>
    <w:rsid w:val="004F5C05"/>
    <w:rsid w:val="004F66CD"/>
    <w:rsid w:val="00512558"/>
    <w:rsid w:val="005130DA"/>
    <w:rsid w:val="00515572"/>
    <w:rsid w:val="005321CD"/>
    <w:rsid w:val="005330A7"/>
    <w:rsid w:val="00553A4C"/>
    <w:rsid w:val="00554335"/>
    <w:rsid w:val="005565CE"/>
    <w:rsid w:val="005708AE"/>
    <w:rsid w:val="005A0FA9"/>
    <w:rsid w:val="005B63E6"/>
    <w:rsid w:val="005C5932"/>
    <w:rsid w:val="005C6817"/>
    <w:rsid w:val="005C73D1"/>
    <w:rsid w:val="005F2D3B"/>
    <w:rsid w:val="005F3168"/>
    <w:rsid w:val="00615A12"/>
    <w:rsid w:val="00616043"/>
    <w:rsid w:val="00617993"/>
    <w:rsid w:val="00627044"/>
    <w:rsid w:val="006341F2"/>
    <w:rsid w:val="006353C3"/>
    <w:rsid w:val="00640441"/>
    <w:rsid w:val="00640B2C"/>
    <w:rsid w:val="00643157"/>
    <w:rsid w:val="00654346"/>
    <w:rsid w:val="00662563"/>
    <w:rsid w:val="00667CAD"/>
    <w:rsid w:val="00681D5E"/>
    <w:rsid w:val="00683E13"/>
    <w:rsid w:val="006A4A6B"/>
    <w:rsid w:val="006B529E"/>
    <w:rsid w:val="006C0257"/>
    <w:rsid w:val="006C0E29"/>
    <w:rsid w:val="006C4046"/>
    <w:rsid w:val="006C7B3D"/>
    <w:rsid w:val="006D1BB7"/>
    <w:rsid w:val="006D30FE"/>
    <w:rsid w:val="006D3757"/>
    <w:rsid w:val="006D4D49"/>
    <w:rsid w:val="006F7348"/>
    <w:rsid w:val="006F796D"/>
    <w:rsid w:val="0070155F"/>
    <w:rsid w:val="00705F76"/>
    <w:rsid w:val="00706C1E"/>
    <w:rsid w:val="007320FD"/>
    <w:rsid w:val="007372A4"/>
    <w:rsid w:val="00741B04"/>
    <w:rsid w:val="0076115C"/>
    <w:rsid w:val="007617A8"/>
    <w:rsid w:val="007664F3"/>
    <w:rsid w:val="00770C9E"/>
    <w:rsid w:val="00771791"/>
    <w:rsid w:val="007775E2"/>
    <w:rsid w:val="007813C7"/>
    <w:rsid w:val="00796FFD"/>
    <w:rsid w:val="007A35B9"/>
    <w:rsid w:val="007B1255"/>
    <w:rsid w:val="007B77D6"/>
    <w:rsid w:val="007C0B6E"/>
    <w:rsid w:val="007C492D"/>
    <w:rsid w:val="007D19F1"/>
    <w:rsid w:val="007D4836"/>
    <w:rsid w:val="007E2C84"/>
    <w:rsid w:val="007F0095"/>
    <w:rsid w:val="007F1E4A"/>
    <w:rsid w:val="0080709F"/>
    <w:rsid w:val="0081449A"/>
    <w:rsid w:val="00825089"/>
    <w:rsid w:val="008338F7"/>
    <w:rsid w:val="00836397"/>
    <w:rsid w:val="008424C4"/>
    <w:rsid w:val="00845054"/>
    <w:rsid w:val="00852D1C"/>
    <w:rsid w:val="008560CE"/>
    <w:rsid w:val="00856147"/>
    <w:rsid w:val="00857470"/>
    <w:rsid w:val="00860F40"/>
    <w:rsid w:val="008615C9"/>
    <w:rsid w:val="00863972"/>
    <w:rsid w:val="00864020"/>
    <w:rsid w:val="00870F49"/>
    <w:rsid w:val="008731C2"/>
    <w:rsid w:val="008956BA"/>
    <w:rsid w:val="008979D5"/>
    <w:rsid w:val="008A4C3B"/>
    <w:rsid w:val="008B2AD7"/>
    <w:rsid w:val="008C12F8"/>
    <w:rsid w:val="008C461E"/>
    <w:rsid w:val="008D6B7E"/>
    <w:rsid w:val="008D7845"/>
    <w:rsid w:val="008E129C"/>
    <w:rsid w:val="008E3260"/>
    <w:rsid w:val="008F6A1E"/>
    <w:rsid w:val="00900D61"/>
    <w:rsid w:val="00902938"/>
    <w:rsid w:val="0090751A"/>
    <w:rsid w:val="00912EB0"/>
    <w:rsid w:val="00923B23"/>
    <w:rsid w:val="00925A59"/>
    <w:rsid w:val="009364D7"/>
    <w:rsid w:val="00937ED0"/>
    <w:rsid w:val="00944B06"/>
    <w:rsid w:val="009458A7"/>
    <w:rsid w:val="00952797"/>
    <w:rsid w:val="009777D3"/>
    <w:rsid w:val="009859E6"/>
    <w:rsid w:val="00995D4D"/>
    <w:rsid w:val="009A0A5D"/>
    <w:rsid w:val="009C6933"/>
    <w:rsid w:val="009E07FB"/>
    <w:rsid w:val="009F06B7"/>
    <w:rsid w:val="009F0ED9"/>
    <w:rsid w:val="009F39A2"/>
    <w:rsid w:val="00A04C7A"/>
    <w:rsid w:val="00A058E5"/>
    <w:rsid w:val="00A10002"/>
    <w:rsid w:val="00A10C1A"/>
    <w:rsid w:val="00A14995"/>
    <w:rsid w:val="00A2072E"/>
    <w:rsid w:val="00A21B5C"/>
    <w:rsid w:val="00A224A9"/>
    <w:rsid w:val="00A237BB"/>
    <w:rsid w:val="00A372B9"/>
    <w:rsid w:val="00A47DFC"/>
    <w:rsid w:val="00A616B1"/>
    <w:rsid w:val="00A82078"/>
    <w:rsid w:val="00A838C8"/>
    <w:rsid w:val="00A85FF5"/>
    <w:rsid w:val="00A91C42"/>
    <w:rsid w:val="00A9516B"/>
    <w:rsid w:val="00A9780A"/>
    <w:rsid w:val="00AA00AF"/>
    <w:rsid w:val="00AA2FC9"/>
    <w:rsid w:val="00AB1C2D"/>
    <w:rsid w:val="00AB283D"/>
    <w:rsid w:val="00AC3765"/>
    <w:rsid w:val="00AD312E"/>
    <w:rsid w:val="00AE3EAF"/>
    <w:rsid w:val="00AE7CA4"/>
    <w:rsid w:val="00B024B0"/>
    <w:rsid w:val="00B13BD3"/>
    <w:rsid w:val="00B1757A"/>
    <w:rsid w:val="00B269F6"/>
    <w:rsid w:val="00B51748"/>
    <w:rsid w:val="00B5265B"/>
    <w:rsid w:val="00B5660B"/>
    <w:rsid w:val="00B57198"/>
    <w:rsid w:val="00B733AC"/>
    <w:rsid w:val="00B85023"/>
    <w:rsid w:val="00B96B65"/>
    <w:rsid w:val="00BA469B"/>
    <w:rsid w:val="00BB3DB0"/>
    <w:rsid w:val="00BB4A5B"/>
    <w:rsid w:val="00BD1299"/>
    <w:rsid w:val="00BF2534"/>
    <w:rsid w:val="00BF4889"/>
    <w:rsid w:val="00BF79DC"/>
    <w:rsid w:val="00C16E95"/>
    <w:rsid w:val="00C3005F"/>
    <w:rsid w:val="00C3273E"/>
    <w:rsid w:val="00C35DE1"/>
    <w:rsid w:val="00C47488"/>
    <w:rsid w:val="00C524AA"/>
    <w:rsid w:val="00C54689"/>
    <w:rsid w:val="00C81928"/>
    <w:rsid w:val="00C81B3A"/>
    <w:rsid w:val="00CB0CF8"/>
    <w:rsid w:val="00CB59A9"/>
    <w:rsid w:val="00CB6C08"/>
    <w:rsid w:val="00CB7B71"/>
    <w:rsid w:val="00CC66FB"/>
    <w:rsid w:val="00CD0DCA"/>
    <w:rsid w:val="00CF1025"/>
    <w:rsid w:val="00CF5D5B"/>
    <w:rsid w:val="00D12F61"/>
    <w:rsid w:val="00D15DAD"/>
    <w:rsid w:val="00D201C6"/>
    <w:rsid w:val="00D27568"/>
    <w:rsid w:val="00D3373B"/>
    <w:rsid w:val="00D53CE6"/>
    <w:rsid w:val="00D638E0"/>
    <w:rsid w:val="00D716BA"/>
    <w:rsid w:val="00D8404D"/>
    <w:rsid w:val="00D86986"/>
    <w:rsid w:val="00DC2952"/>
    <w:rsid w:val="00DC7942"/>
    <w:rsid w:val="00DD6C22"/>
    <w:rsid w:val="00DF1AB7"/>
    <w:rsid w:val="00DF7798"/>
    <w:rsid w:val="00E07C02"/>
    <w:rsid w:val="00E12B06"/>
    <w:rsid w:val="00E15BF6"/>
    <w:rsid w:val="00E31264"/>
    <w:rsid w:val="00E32C60"/>
    <w:rsid w:val="00E50BC2"/>
    <w:rsid w:val="00E51C5A"/>
    <w:rsid w:val="00E5394E"/>
    <w:rsid w:val="00E71CB9"/>
    <w:rsid w:val="00E73698"/>
    <w:rsid w:val="00E761F2"/>
    <w:rsid w:val="00E8251C"/>
    <w:rsid w:val="00E844A0"/>
    <w:rsid w:val="00EA0E39"/>
    <w:rsid w:val="00EA4172"/>
    <w:rsid w:val="00EF0600"/>
    <w:rsid w:val="00F13ED2"/>
    <w:rsid w:val="00F16C46"/>
    <w:rsid w:val="00F24007"/>
    <w:rsid w:val="00F26D5B"/>
    <w:rsid w:val="00F27ACB"/>
    <w:rsid w:val="00F3616F"/>
    <w:rsid w:val="00F4280B"/>
    <w:rsid w:val="00F631A8"/>
    <w:rsid w:val="00F6618F"/>
    <w:rsid w:val="00F70DD5"/>
    <w:rsid w:val="00F70E40"/>
    <w:rsid w:val="00F73165"/>
    <w:rsid w:val="00F90BCE"/>
    <w:rsid w:val="00F91267"/>
    <w:rsid w:val="00FA5A80"/>
    <w:rsid w:val="00FA5A8B"/>
    <w:rsid w:val="00FA6E71"/>
    <w:rsid w:val="00FB7E64"/>
    <w:rsid w:val="00FC2881"/>
    <w:rsid w:val="00FD2AEF"/>
    <w:rsid w:val="00FD7DC1"/>
    <w:rsid w:val="00FF3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FBB82F5E-02D5-488A-B60C-9BD0ACC0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1E5621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Footer">
    <w:name w:val="footer"/>
    <w:basedOn w:val="Normal"/>
    <w:link w:val="FooterChar"/>
    <w:uiPriority w:val="1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1E4A94"/>
    <w:rPr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1E5621"/>
    <w:pPr>
      <w:outlineLvl w:val="0"/>
    </w:pPr>
    <w:rPr>
      <w:rFonts w:cs="Arial"/>
      <w:color w:val="5F5E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link w:val="AHPRABulletlevel1Char"/>
    <w:qFormat/>
    <w:rsid w:val="00D8404D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qFormat/>
    <w:rsid w:val="00A10C1A"/>
    <w:pPr>
      <w:numPr>
        <w:numId w:val="0"/>
      </w:numPr>
    </w:pPr>
  </w:style>
  <w:style w:type="paragraph" w:customStyle="1" w:styleId="AHPRABulletlevel3">
    <w:name w:val="AHPRA Bullet level 3"/>
    <w:basedOn w:val="AHPRABulletlevel2"/>
    <w:rsid w:val="001E5621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rsid w:val="000D7CFA"/>
    <w:pPr>
      <w:numPr>
        <w:numId w:val="4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AHPRASubheadinglevel2"/>
    <w:rsid w:val="00A10C1A"/>
    <w:pPr>
      <w:spacing w:before="120" w:after="120"/>
      <w:jc w:val="center"/>
    </w:pPr>
  </w:style>
  <w:style w:type="paragraph" w:customStyle="1" w:styleId="AHPRABulletlevel1last">
    <w:name w:val="AHPRA Bullet level 1 last"/>
    <w:basedOn w:val="AHPRABulletlevel1"/>
    <w:next w:val="Normal"/>
    <w:rsid w:val="00D8404D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D8404D"/>
    <w:rPr>
      <w:b/>
      <w:szCs w:val="18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iPriority w:val="1"/>
    <w:semiHidden/>
    <w:unhideWhenUsed/>
    <w:rsid w:val="00E73698"/>
    <w:rPr>
      <w:vertAlign w:val="superscript"/>
    </w:rPr>
  </w:style>
  <w:style w:type="paragraph" w:customStyle="1" w:styleId="AHPRAfooter">
    <w:name w:val="AHPRA footer"/>
    <w:basedOn w:val="FootnoteText"/>
    <w:rsid w:val="00A47DFC"/>
    <w:pPr>
      <w:jc w:val="center"/>
    </w:pPr>
    <w:rPr>
      <w:rFonts w:cs="Arial"/>
      <w:color w:val="5F5E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1"/>
    <w:semiHidden/>
    <w:unhideWhenUsed/>
    <w:rsid w:val="00E73698"/>
    <w:pPr>
      <w:ind w:left="240"/>
    </w:pPr>
  </w:style>
  <w:style w:type="paragraph" w:styleId="TOC1">
    <w:name w:val="toc 1"/>
    <w:aliases w:val="AHPRA table of contents"/>
    <w:basedOn w:val="Normal"/>
    <w:next w:val="Normal"/>
    <w:autoRedefine/>
    <w:uiPriority w:val="1"/>
    <w:semiHidden/>
    <w:unhideWhenUsed/>
    <w:rsid w:val="00E73698"/>
    <w:pPr>
      <w:tabs>
        <w:tab w:val="right" w:leader="dot" w:pos="9488"/>
      </w:tabs>
    </w:pPr>
    <w:rPr>
      <w:b/>
      <w:noProof/>
      <w:color w:val="008EC4"/>
      <w:sz w:val="20"/>
    </w:rPr>
  </w:style>
  <w:style w:type="paragraph" w:styleId="TOC3">
    <w:name w:val="toc 3"/>
    <w:basedOn w:val="Normal"/>
    <w:next w:val="Normal"/>
    <w:autoRedefine/>
    <w:uiPriority w:val="1"/>
    <w:semiHidden/>
    <w:unhideWhenUsed/>
    <w:rsid w:val="00E73698"/>
    <w:pPr>
      <w:ind w:left="480"/>
    </w:pPr>
  </w:style>
  <w:style w:type="character" w:styleId="Hyperlink">
    <w:name w:val="Hyperlink"/>
    <w:uiPriority w:val="1"/>
    <w:semiHidden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C16E95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D7CFA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D8404D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D8404D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A47DFC"/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C16E95"/>
    <w:pPr>
      <w:numPr>
        <w:numId w:val="5"/>
      </w:numPr>
    </w:pPr>
  </w:style>
  <w:style w:type="paragraph" w:customStyle="1" w:styleId="AHPRANumberedlistlevel3">
    <w:name w:val="AHPRA Numbered list level 3"/>
    <w:basedOn w:val="AHPRANumberedlistlevel1"/>
    <w:rsid w:val="00A10C1A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rsid w:val="00A47DFC"/>
    <w:pPr>
      <w:numPr>
        <w:ilvl w:val="1"/>
      </w:numPr>
      <w:spacing w:before="0"/>
      <w:ind w:left="738"/>
    </w:pPr>
    <w:rPr>
      <w:b w:val="0"/>
      <w:color w:val="auto"/>
    </w:rPr>
  </w:style>
  <w:style w:type="paragraph" w:customStyle="1" w:styleId="AHPRANumberedsubheadinglevel3">
    <w:name w:val="AHPRA Numbered subheading level 3"/>
    <w:basedOn w:val="AHPRANumberedsubheadinglevel2"/>
    <w:rsid w:val="000D7CFA"/>
    <w:pPr>
      <w:numPr>
        <w:ilvl w:val="2"/>
      </w:numPr>
      <w:ind w:left="1106"/>
    </w:p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A47DFC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A47DFC"/>
    <w:rPr>
      <w:rFonts w:cs="Arial"/>
      <w:b/>
      <w:szCs w:val="24"/>
    </w:rPr>
  </w:style>
  <w:style w:type="character" w:customStyle="1" w:styleId="AHPRAbodyitalicsChar">
    <w:name w:val="AHPRA body italics Char"/>
    <w:basedOn w:val="AHPRAbodyboldChar"/>
    <w:link w:val="AHPRAbodyitalics"/>
    <w:rsid w:val="00A47DFC"/>
    <w:rPr>
      <w:rFonts w:cs="Arial"/>
      <w:b/>
      <w:i/>
      <w:szCs w:val="24"/>
    </w:rPr>
  </w:style>
  <w:style w:type="character" w:styleId="CommentReference">
    <w:name w:val="annotation reference"/>
    <w:basedOn w:val="DefaultParagraphFont"/>
    <w:uiPriority w:val="1"/>
    <w:semiHidden/>
    <w:unhideWhenUsed/>
    <w:rsid w:val="00732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732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7320FD"/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732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7320FD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273D0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customStyle="1" w:styleId="LightGrid-Accent11">
    <w:name w:val="Light Grid - Accent 11"/>
    <w:basedOn w:val="TableNormal"/>
    <w:uiPriority w:val="62"/>
    <w:rsid w:val="00C81928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C81928"/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AHPRABulletlevel1Char">
    <w:name w:val="AHPRA Bullet level 1 Char"/>
    <w:basedOn w:val="DefaultParagraphFont"/>
    <w:link w:val="AHPRABulletlevel1"/>
    <w:rsid w:val="00C3005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binson\AppData\Local\Microsoft\Windows\Temporary%20Internet%20Files\Content.Outlook\JZK2LRMC\Agenda%20item_template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CDFD-94A4-4F26-A277-5A7C789F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item_template2 (2).dotx</Template>
  <TotalTime>0</TotalTime>
  <Pages>2</Pages>
  <Words>492</Words>
  <Characters>3023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Policy:  Managing Critical Compliance Events</vt:lpstr>
    </vt:vector>
  </TitlesOfParts>
  <Company>Johanna Villani Design</Company>
  <LinksUpToDate>false</LinksUpToDate>
  <CharactersWithSpaces>3478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Policy:  Managing Critical Compliance Events</dc:title>
  <dc:subject>Policy</dc:subject>
  <dc:creator>AHPRA</dc:creator>
  <cp:lastModifiedBy>Brett Cremer</cp:lastModifiedBy>
  <cp:revision>2</cp:revision>
  <cp:lastPrinted>2017-06-30T02:47:00Z</cp:lastPrinted>
  <dcterms:created xsi:type="dcterms:W3CDTF">2019-05-13T23:42:00Z</dcterms:created>
  <dcterms:modified xsi:type="dcterms:W3CDTF">2019-05-13T23:42:00Z</dcterms:modified>
</cp:coreProperties>
</file>