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1F4A" w14:textId="77777777" w:rsidR="008A5113" w:rsidRDefault="008A5113" w:rsidP="0079578A">
      <w:pPr>
        <w:pStyle w:val="AHPRATitle"/>
        <w:rPr>
          <w:color w:val="00BCCE"/>
          <w:sz w:val="32"/>
          <w:szCs w:val="32"/>
        </w:rPr>
      </w:pPr>
      <w:bookmarkStart w:id="0" w:name="_GoBack"/>
      <w:bookmarkEnd w:id="0"/>
    </w:p>
    <w:p w14:paraId="623B3B70" w14:textId="77777777" w:rsidR="001F7178" w:rsidRPr="008A5113" w:rsidRDefault="00C71843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246B1F8D" wp14:editId="3CA62B8E">
                <wp:simplePos x="0" y="0"/>
                <wp:positionH relativeFrom="column">
                  <wp:posOffset>-706755</wp:posOffset>
                </wp:positionH>
                <wp:positionV relativeFrom="paragraph">
                  <wp:posOffset>260349</wp:posOffset>
                </wp:positionV>
                <wp:extent cx="2493645" cy="0"/>
                <wp:effectExtent l="0" t="0" r="2095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43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0.5pt;width:196.3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fj6DtjmElXJnfIf0JF/1s6LfLZKqbIlseAh+O2vITXxG9C7FX6yGKvvhi2IQQwA/&#10;DOtUm95DwhjQKezkfNsJPzlE4WOaLR/m2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"/>
            </w:pict>
          </mc:Fallback>
        </mc:AlternateContent>
      </w:r>
      <w:r w:rsidR="008A5113" w:rsidRPr="008A5113">
        <w:rPr>
          <w:color w:val="00BCCE"/>
          <w:sz w:val="32"/>
          <w:szCs w:val="32"/>
        </w:rPr>
        <w:t>Communique</w:t>
      </w:r>
    </w:p>
    <w:p w14:paraId="15642490" w14:textId="34288DCF" w:rsidR="00BE3564" w:rsidRPr="008A5113" w:rsidRDefault="000D0AEE" w:rsidP="002F6247">
      <w:pPr>
        <w:pStyle w:val="AHPRAHeadline"/>
        <w:spacing w:after="0"/>
        <w:outlineLvl w:val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July</w:t>
      </w:r>
      <w:r w:rsidR="003B41F8">
        <w:rPr>
          <w:rFonts w:cs="Arial"/>
          <w:color w:val="auto"/>
          <w:sz w:val="20"/>
          <w:szCs w:val="20"/>
        </w:rPr>
        <w:t xml:space="preserve"> 2019</w:t>
      </w:r>
    </w:p>
    <w:p w14:paraId="3DDB58DE" w14:textId="77777777" w:rsidR="008A5113" w:rsidRPr="008A5113" w:rsidRDefault="008A5113" w:rsidP="00B559ED">
      <w:pPr>
        <w:pStyle w:val="AHPRAHeadline"/>
        <w:spacing w:after="0"/>
        <w:outlineLvl w:val="0"/>
        <w:rPr>
          <w:rFonts w:cs="Arial"/>
          <w:color w:val="60605B"/>
        </w:rPr>
      </w:pPr>
    </w:p>
    <w:p w14:paraId="22ED0B1A" w14:textId="77777777" w:rsidR="008A5113" w:rsidRPr="008A5113" w:rsidRDefault="008A5113" w:rsidP="008A5113">
      <w:pPr>
        <w:rPr>
          <w:rFonts w:ascii="Arial" w:hAnsi="Arial" w:cs="Arial"/>
          <w:color w:val="60605B"/>
          <w:sz w:val="28"/>
        </w:rPr>
      </w:pPr>
      <w:r w:rsidRPr="008A5113">
        <w:rPr>
          <w:rFonts w:ascii="Arial" w:hAnsi="Arial" w:cs="Arial"/>
          <w:color w:val="60605B"/>
          <w:sz w:val="28"/>
        </w:rPr>
        <w:t xml:space="preserve">Aboriginal and Torres Strait Islander Health Strategy </w:t>
      </w:r>
      <w:r w:rsidR="00E31E1D">
        <w:rPr>
          <w:rFonts w:ascii="Arial" w:hAnsi="Arial" w:cs="Arial"/>
          <w:color w:val="60605B"/>
          <w:sz w:val="28"/>
        </w:rPr>
        <w:t>Group</w:t>
      </w:r>
    </w:p>
    <w:p w14:paraId="35D232C0" w14:textId="6498115E" w:rsidR="00352F61" w:rsidRPr="00160B49" w:rsidRDefault="00352F61" w:rsidP="00160B49">
      <w:pPr>
        <w:pStyle w:val="AHPRANumberedText"/>
        <w:numPr>
          <w:ilvl w:val="0"/>
          <w:numId w:val="0"/>
        </w:numPr>
        <w:rPr>
          <w:rFonts w:ascii="Arial" w:eastAsia="Times New Roman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The strategy group is co-Chaired by </w:t>
      </w:r>
      <w:r w:rsidRPr="00352F61">
        <w:rPr>
          <w:rFonts w:ascii="Arial" w:hAnsi="Arial" w:cs="Arial"/>
          <w:szCs w:val="20"/>
        </w:rPr>
        <w:t xml:space="preserve">Professor Gregory Phillips, CEO of ABSTARR Consulting and </w:t>
      </w:r>
      <w:r w:rsidR="00C548F0">
        <w:rPr>
          <w:rFonts w:ascii="Arial" w:hAnsi="Arial" w:cs="Arial"/>
          <w:szCs w:val="20"/>
        </w:rPr>
        <w:t xml:space="preserve">Ms Julie </w:t>
      </w:r>
      <w:proofErr w:type="spellStart"/>
      <w:r w:rsidR="00C548F0">
        <w:rPr>
          <w:rFonts w:ascii="Arial" w:hAnsi="Arial" w:cs="Arial"/>
          <w:szCs w:val="20"/>
        </w:rPr>
        <w:t>Brayshaw</w:t>
      </w:r>
      <w:proofErr w:type="spellEnd"/>
      <w:r w:rsidR="00C548F0">
        <w:rPr>
          <w:rFonts w:ascii="Arial" w:hAnsi="Arial" w:cs="Arial"/>
          <w:szCs w:val="20"/>
        </w:rPr>
        <w:t>, Chair of the Occupational Therapy Board of Australia</w:t>
      </w:r>
      <w:r w:rsidR="00211FBA">
        <w:rPr>
          <w:rFonts w:ascii="Arial" w:hAnsi="Arial" w:cs="Arial"/>
          <w:szCs w:val="20"/>
        </w:rPr>
        <w:t>.</w:t>
      </w:r>
      <w:r w:rsidR="0013196A" w:rsidRPr="0013196A">
        <w:rPr>
          <w:rFonts w:ascii="Arial" w:eastAsia="Times New Roman" w:hAnsi="Arial" w:cs="Arial"/>
          <w:color w:val="000000"/>
          <w:szCs w:val="20"/>
        </w:rPr>
        <w:t xml:space="preserve"> </w:t>
      </w:r>
      <w:r w:rsidR="0013196A">
        <w:rPr>
          <w:rFonts w:ascii="Arial" w:eastAsia="Times New Roman" w:hAnsi="Arial" w:cs="Arial"/>
          <w:color w:val="000000"/>
          <w:szCs w:val="20"/>
        </w:rPr>
        <w:t xml:space="preserve">This was the first meeting for Aboriginal and Torres Strait Islander members: Dr Hannah McGlade (Medical Board of Australia), Linda </w:t>
      </w:r>
      <w:proofErr w:type="spellStart"/>
      <w:r w:rsidR="0013196A">
        <w:rPr>
          <w:rFonts w:ascii="Arial" w:eastAsia="Times New Roman" w:hAnsi="Arial" w:cs="Arial"/>
          <w:color w:val="000000"/>
          <w:szCs w:val="20"/>
        </w:rPr>
        <w:t>Renouf</w:t>
      </w:r>
      <w:proofErr w:type="spellEnd"/>
      <w:r w:rsidR="0013196A">
        <w:rPr>
          <w:rFonts w:ascii="Arial" w:eastAsia="Times New Roman" w:hAnsi="Arial" w:cs="Arial"/>
          <w:color w:val="000000"/>
          <w:szCs w:val="20"/>
        </w:rPr>
        <w:t xml:space="preserve"> (Paramedicine Board of Australia), Dr Jessa Rogers (Nursing and Midwifery Board of Australia) and Dr Lisa Whop (Community Reference Group).</w:t>
      </w:r>
    </w:p>
    <w:p w14:paraId="30354286" w14:textId="12D51C03" w:rsidR="000D0AEE" w:rsidRDefault="00352F61" w:rsidP="00C25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group met </w:t>
      </w:r>
      <w:r w:rsidR="00C548F0">
        <w:rPr>
          <w:rFonts w:ascii="Arial" w:hAnsi="Arial" w:cs="Arial"/>
          <w:sz w:val="20"/>
          <w:szCs w:val="20"/>
        </w:rPr>
        <w:t xml:space="preserve">on </w:t>
      </w:r>
      <w:r w:rsidR="003B41F8">
        <w:rPr>
          <w:rFonts w:ascii="Arial" w:hAnsi="Arial" w:cs="Arial"/>
          <w:sz w:val="20"/>
          <w:szCs w:val="20"/>
        </w:rPr>
        <w:t>22 July</w:t>
      </w:r>
      <w:r>
        <w:rPr>
          <w:rFonts w:ascii="Arial" w:hAnsi="Arial" w:cs="Arial"/>
          <w:sz w:val="20"/>
          <w:szCs w:val="20"/>
        </w:rPr>
        <w:t xml:space="preserve"> </w:t>
      </w:r>
      <w:r w:rsidR="00724AB3">
        <w:rPr>
          <w:rFonts w:ascii="Arial" w:hAnsi="Arial" w:cs="Arial"/>
          <w:sz w:val="20"/>
          <w:szCs w:val="20"/>
        </w:rPr>
        <w:t xml:space="preserve">2019 at the Southern Queensland Centre of Excellence in </w:t>
      </w:r>
      <w:r w:rsidR="000D0AEE">
        <w:rPr>
          <w:rFonts w:ascii="Arial" w:hAnsi="Arial" w:cs="Arial"/>
          <w:sz w:val="20"/>
          <w:szCs w:val="20"/>
        </w:rPr>
        <w:t xml:space="preserve">Aboriginal and Torres Strait Islander Primary Health Care in </w:t>
      </w:r>
      <w:r w:rsidR="00724AB3">
        <w:rPr>
          <w:rFonts w:ascii="Arial" w:hAnsi="Arial" w:cs="Arial"/>
          <w:sz w:val="20"/>
          <w:szCs w:val="20"/>
        </w:rPr>
        <w:t>Inala</w:t>
      </w:r>
      <w:r w:rsidR="0013196A">
        <w:rPr>
          <w:rFonts w:ascii="Arial" w:hAnsi="Arial" w:cs="Arial"/>
          <w:sz w:val="20"/>
          <w:szCs w:val="20"/>
        </w:rPr>
        <w:t>, Queensland.</w:t>
      </w:r>
      <w:r w:rsidR="00724AB3">
        <w:rPr>
          <w:rFonts w:ascii="Arial" w:hAnsi="Arial" w:cs="Arial"/>
          <w:sz w:val="20"/>
          <w:szCs w:val="20"/>
        </w:rPr>
        <w:t xml:space="preserve"> Professor Noel Hayman, </w:t>
      </w:r>
      <w:r w:rsidR="0013196A">
        <w:rPr>
          <w:rFonts w:ascii="Arial" w:hAnsi="Arial" w:cs="Arial"/>
          <w:sz w:val="20"/>
          <w:szCs w:val="20"/>
        </w:rPr>
        <w:t>s</w:t>
      </w:r>
      <w:r w:rsidR="000D0AEE">
        <w:rPr>
          <w:rFonts w:ascii="Arial" w:hAnsi="Arial" w:cs="Arial"/>
          <w:sz w:val="20"/>
          <w:szCs w:val="20"/>
        </w:rPr>
        <w:t xml:space="preserve">trategy </w:t>
      </w:r>
      <w:r w:rsidR="0013196A">
        <w:rPr>
          <w:rFonts w:ascii="Arial" w:hAnsi="Arial" w:cs="Arial"/>
          <w:sz w:val="20"/>
          <w:szCs w:val="20"/>
        </w:rPr>
        <w:t>g</w:t>
      </w:r>
      <w:r w:rsidR="000D0AEE">
        <w:rPr>
          <w:rFonts w:ascii="Arial" w:hAnsi="Arial" w:cs="Arial"/>
          <w:sz w:val="20"/>
          <w:szCs w:val="20"/>
        </w:rPr>
        <w:t xml:space="preserve">roup member and </w:t>
      </w:r>
      <w:r w:rsidR="00724AB3">
        <w:rPr>
          <w:rFonts w:ascii="Arial" w:hAnsi="Arial" w:cs="Arial"/>
          <w:sz w:val="20"/>
          <w:szCs w:val="20"/>
        </w:rPr>
        <w:t xml:space="preserve">Clinical Director of the Centre of Excellence, hosted the venue and gave a personal tour of the facilities. </w:t>
      </w:r>
    </w:p>
    <w:p w14:paraId="1BDB9FDC" w14:textId="2462809D" w:rsidR="00C25671" w:rsidRPr="00C25671" w:rsidRDefault="000D0AEE" w:rsidP="00C25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discussed:</w:t>
      </w:r>
    </w:p>
    <w:p w14:paraId="072A64EA" w14:textId="77777777" w:rsidR="008E2B80" w:rsidRPr="00385095" w:rsidRDefault="008E2B80" w:rsidP="008E2B80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planning the National Summit on Aboriginal and Torres Strait Islander Health Workforce to be held in April 2020.</w:t>
      </w:r>
    </w:p>
    <w:p w14:paraId="2ECF5B72" w14:textId="4CFFE000" w:rsidR="00385095" w:rsidRPr="00385095" w:rsidRDefault="008E2B80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feedback from the public consultation on the definition of ‘cultural safety’ and process to finalisation.</w:t>
      </w:r>
    </w:p>
    <w:p w14:paraId="4B4D4292" w14:textId="59C341F0" w:rsidR="003B41F8" w:rsidRDefault="004153EF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feedback </w:t>
      </w:r>
      <w:r w:rsidR="009C2A3C">
        <w:rPr>
          <w:rFonts w:ascii="Arial" w:eastAsia="Times New Roman" w:hAnsi="Arial" w:cs="Arial"/>
          <w:color w:val="000000"/>
          <w:szCs w:val="20"/>
        </w:rPr>
        <w:t xml:space="preserve">on </w:t>
      </w:r>
      <w:r w:rsidR="008E2B80">
        <w:rPr>
          <w:rFonts w:ascii="Arial" w:eastAsia="Times New Roman" w:hAnsi="Arial" w:cs="Arial"/>
          <w:color w:val="000000"/>
          <w:szCs w:val="20"/>
        </w:rPr>
        <w:t xml:space="preserve">the </w:t>
      </w:r>
      <w:r w:rsidR="003B41F8">
        <w:rPr>
          <w:rFonts w:ascii="Arial" w:eastAsia="Times New Roman" w:hAnsi="Arial" w:cs="Arial"/>
          <w:color w:val="000000"/>
          <w:szCs w:val="20"/>
        </w:rPr>
        <w:t xml:space="preserve">draft </w:t>
      </w:r>
      <w:r w:rsidR="008E2B80" w:rsidRPr="00160B49">
        <w:rPr>
          <w:rFonts w:ascii="Arial" w:eastAsia="Times New Roman" w:hAnsi="Arial" w:cs="Arial"/>
          <w:i/>
          <w:color w:val="000000"/>
          <w:szCs w:val="20"/>
        </w:rPr>
        <w:t>National Scheme’s</w:t>
      </w:r>
      <w:r w:rsidR="008E2B80">
        <w:rPr>
          <w:rFonts w:ascii="Arial" w:eastAsia="Times New Roman" w:hAnsi="Arial" w:cs="Arial"/>
          <w:color w:val="000000"/>
          <w:szCs w:val="20"/>
        </w:rPr>
        <w:t xml:space="preserve"> </w:t>
      </w:r>
      <w:r w:rsidR="003B41F8" w:rsidRPr="00C25671">
        <w:rPr>
          <w:rFonts w:ascii="Arial" w:eastAsia="Times New Roman" w:hAnsi="Arial" w:cs="Arial"/>
          <w:i/>
          <w:color w:val="000000"/>
          <w:szCs w:val="20"/>
        </w:rPr>
        <w:t xml:space="preserve">Aboriginal and Torres Strait Islander </w:t>
      </w:r>
      <w:r w:rsidR="008E2B80">
        <w:rPr>
          <w:rFonts w:ascii="Arial" w:eastAsia="Times New Roman" w:hAnsi="Arial" w:cs="Arial"/>
          <w:i/>
          <w:color w:val="000000"/>
          <w:szCs w:val="20"/>
        </w:rPr>
        <w:t>H</w:t>
      </w:r>
      <w:r w:rsidR="003B41F8" w:rsidRPr="00C25671">
        <w:rPr>
          <w:rFonts w:ascii="Arial" w:eastAsia="Times New Roman" w:hAnsi="Arial" w:cs="Arial"/>
          <w:i/>
          <w:color w:val="000000"/>
          <w:szCs w:val="20"/>
        </w:rPr>
        <w:t>ealth</w:t>
      </w:r>
      <w:r w:rsidR="008E2B80">
        <w:rPr>
          <w:rFonts w:ascii="Arial" w:eastAsia="Times New Roman" w:hAnsi="Arial" w:cs="Arial"/>
          <w:i/>
          <w:color w:val="000000"/>
          <w:szCs w:val="20"/>
        </w:rPr>
        <w:t xml:space="preserve"> and Cultural Safety</w:t>
      </w:r>
      <w:r w:rsidR="003B41F8" w:rsidRPr="00C25671">
        <w:rPr>
          <w:rFonts w:ascii="Arial" w:eastAsia="Times New Roman" w:hAnsi="Arial" w:cs="Arial"/>
          <w:i/>
          <w:color w:val="000000"/>
          <w:szCs w:val="20"/>
        </w:rPr>
        <w:t xml:space="preserve"> </w:t>
      </w:r>
      <w:r w:rsidR="008E2B80">
        <w:rPr>
          <w:rFonts w:ascii="Arial" w:eastAsia="Times New Roman" w:hAnsi="Arial" w:cs="Arial"/>
          <w:i/>
          <w:color w:val="000000"/>
          <w:szCs w:val="20"/>
        </w:rPr>
        <w:t>S</w:t>
      </w:r>
      <w:r w:rsidR="003B41F8" w:rsidRPr="00C25671">
        <w:rPr>
          <w:rFonts w:ascii="Arial" w:eastAsia="Times New Roman" w:hAnsi="Arial" w:cs="Arial"/>
          <w:i/>
          <w:color w:val="000000"/>
          <w:szCs w:val="20"/>
        </w:rPr>
        <w:t>trategy</w:t>
      </w:r>
      <w:r w:rsidR="009C2A3C">
        <w:rPr>
          <w:rFonts w:ascii="Arial" w:eastAsia="Times New Roman" w:hAnsi="Arial" w:cs="Arial"/>
          <w:color w:val="000000"/>
          <w:szCs w:val="20"/>
        </w:rPr>
        <w:t xml:space="preserve"> from National Boards and accreditation authorities</w:t>
      </w:r>
      <w:r w:rsidR="00AA203C">
        <w:rPr>
          <w:rFonts w:ascii="Arial" w:eastAsia="Times New Roman" w:hAnsi="Arial" w:cs="Arial"/>
          <w:color w:val="000000"/>
          <w:szCs w:val="20"/>
        </w:rPr>
        <w:t xml:space="preserve">, and </w:t>
      </w:r>
      <w:r w:rsidR="008E2B80">
        <w:rPr>
          <w:rFonts w:ascii="Arial" w:eastAsia="Times New Roman" w:hAnsi="Arial" w:cs="Arial"/>
          <w:color w:val="000000"/>
          <w:szCs w:val="20"/>
        </w:rPr>
        <w:t xml:space="preserve">the </w:t>
      </w:r>
      <w:r w:rsidR="00AA203C">
        <w:rPr>
          <w:rFonts w:ascii="Arial" w:eastAsia="Times New Roman" w:hAnsi="Arial" w:cs="Arial"/>
          <w:color w:val="000000"/>
          <w:szCs w:val="20"/>
        </w:rPr>
        <w:t>process to finalise draft by December 2019.</w:t>
      </w:r>
    </w:p>
    <w:p w14:paraId="15D4F0E4" w14:textId="03E00794" w:rsidR="008E2B80" w:rsidRPr="008E2B80" w:rsidRDefault="008E2B80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an update on the </w:t>
      </w:r>
      <w:hyperlink r:id="rId8" w:history="1">
        <w:r w:rsidRPr="0051279B">
          <w:rPr>
            <w:rStyle w:val="Hyperlink"/>
            <w:rFonts w:ascii="Arial" w:eastAsia="Times New Roman" w:hAnsi="Arial" w:cs="Arial"/>
            <w:szCs w:val="20"/>
          </w:rPr>
          <w:t>contract for cultural safety training</w:t>
        </w:r>
      </w:hyperlink>
      <w:r>
        <w:rPr>
          <w:rFonts w:ascii="Arial" w:eastAsia="Times New Roman" w:hAnsi="Arial" w:cs="Arial"/>
          <w:color w:val="000000"/>
          <w:szCs w:val="20"/>
        </w:rPr>
        <w:t xml:space="preserve"> awarded to </w:t>
      </w:r>
      <w:r w:rsidR="0051279B">
        <w:rPr>
          <w:rFonts w:ascii="Arial" w:eastAsia="Times New Roman" w:hAnsi="Arial" w:cs="Arial"/>
          <w:color w:val="000000"/>
          <w:szCs w:val="20"/>
        </w:rPr>
        <w:t xml:space="preserve">PricewaterhouseCoopers Indigenous Consulting Pty Limited (PIC) in partnership with </w:t>
      </w:r>
      <w:r w:rsidR="0051279B" w:rsidRPr="0011376D">
        <w:rPr>
          <w:rFonts w:ascii="Arial" w:eastAsia="Times New Roman" w:hAnsi="Arial" w:cs="Arial"/>
          <w:color w:val="000000"/>
          <w:szCs w:val="20"/>
        </w:rPr>
        <w:t>Griffith University</w:t>
      </w:r>
      <w:r w:rsidR="0051279B">
        <w:rPr>
          <w:rFonts w:ascii="Arial" w:eastAsia="Times New Roman" w:hAnsi="Arial" w:cs="Arial"/>
          <w:color w:val="000000"/>
          <w:szCs w:val="20"/>
        </w:rPr>
        <w:t xml:space="preserve">’s </w:t>
      </w:r>
      <w:r>
        <w:rPr>
          <w:rFonts w:ascii="Arial" w:eastAsia="Times New Roman" w:hAnsi="Arial" w:cs="Arial"/>
          <w:color w:val="000000"/>
          <w:szCs w:val="20"/>
        </w:rPr>
        <w:t xml:space="preserve">First Peoples Health Unit </w:t>
      </w:r>
    </w:p>
    <w:p w14:paraId="398C7E2B" w14:textId="67DDCF86" w:rsidR="00CC3F70" w:rsidRDefault="00CC3F70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aligning the</w:t>
      </w:r>
      <w:r w:rsidR="00724AB3">
        <w:rPr>
          <w:rFonts w:ascii="Arial" w:eastAsia="Times New Roman" w:hAnsi="Arial" w:cs="Arial"/>
          <w:color w:val="000000"/>
          <w:szCs w:val="20"/>
        </w:rPr>
        <w:t xml:space="preserve"> </w:t>
      </w:r>
      <w:r w:rsidR="008E2B80">
        <w:rPr>
          <w:rFonts w:ascii="Arial" w:eastAsia="Times New Roman" w:hAnsi="Arial" w:cs="Arial"/>
          <w:i/>
          <w:color w:val="000000"/>
          <w:szCs w:val="20"/>
        </w:rPr>
        <w:t>Reflect</w:t>
      </w:r>
      <w:r w:rsidRPr="00724AB3">
        <w:rPr>
          <w:rFonts w:ascii="Arial" w:eastAsia="Times New Roman" w:hAnsi="Arial" w:cs="Arial"/>
          <w:i/>
          <w:color w:val="000000"/>
          <w:szCs w:val="20"/>
        </w:rPr>
        <w:t xml:space="preserve"> Reconciliation Action Plan</w:t>
      </w:r>
      <w:r>
        <w:rPr>
          <w:rFonts w:ascii="Arial" w:eastAsia="Times New Roman" w:hAnsi="Arial" w:cs="Arial"/>
          <w:color w:val="000000"/>
          <w:szCs w:val="20"/>
        </w:rPr>
        <w:t xml:space="preserve"> with the </w:t>
      </w:r>
      <w:r w:rsidR="008E2B80" w:rsidRPr="00160B49">
        <w:rPr>
          <w:rFonts w:ascii="Arial" w:eastAsia="Times New Roman" w:hAnsi="Arial" w:cs="Arial"/>
          <w:i/>
          <w:color w:val="000000"/>
          <w:szCs w:val="20"/>
        </w:rPr>
        <w:t xml:space="preserve">National Scheme’s </w:t>
      </w:r>
      <w:r w:rsidRPr="00160B49">
        <w:rPr>
          <w:rFonts w:ascii="Arial" w:eastAsia="Times New Roman" w:hAnsi="Arial" w:cs="Arial"/>
          <w:i/>
          <w:color w:val="000000"/>
          <w:szCs w:val="20"/>
        </w:rPr>
        <w:t xml:space="preserve">Aboriginal and Torres Strait Islander Health </w:t>
      </w:r>
      <w:r w:rsidR="008E2B80" w:rsidRPr="00160B49">
        <w:rPr>
          <w:rFonts w:ascii="Arial" w:eastAsia="Times New Roman" w:hAnsi="Arial" w:cs="Arial"/>
          <w:i/>
          <w:color w:val="000000"/>
          <w:szCs w:val="20"/>
        </w:rPr>
        <w:t xml:space="preserve">and Cultural Safety </w:t>
      </w:r>
      <w:r w:rsidRPr="00160B49">
        <w:rPr>
          <w:rFonts w:ascii="Arial" w:eastAsia="Times New Roman" w:hAnsi="Arial" w:cs="Arial"/>
          <w:i/>
          <w:color w:val="000000"/>
          <w:szCs w:val="20"/>
        </w:rPr>
        <w:t>Strategy</w:t>
      </w:r>
      <w:r w:rsidR="00724AB3" w:rsidRPr="00160B49">
        <w:rPr>
          <w:rFonts w:ascii="Arial" w:eastAsia="Times New Roman" w:hAnsi="Arial" w:cs="Arial"/>
          <w:i/>
          <w:color w:val="000000"/>
          <w:szCs w:val="20"/>
        </w:rPr>
        <w:t>.</w:t>
      </w:r>
    </w:p>
    <w:p w14:paraId="5FB07761" w14:textId="77777777" w:rsidR="008E2B80" w:rsidRDefault="008E2B80" w:rsidP="008E2B80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new membership on AHPRA’s Agency Management Committee.</w:t>
      </w:r>
    </w:p>
    <w:p w14:paraId="15C590E7" w14:textId="76B8D713" w:rsidR="009C2A3C" w:rsidRDefault="009C2A3C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the draft report on</w:t>
      </w:r>
      <w:r w:rsidR="0051279B">
        <w:rPr>
          <w:rFonts w:ascii="Arial" w:eastAsia="Times New Roman" w:hAnsi="Arial" w:cs="Arial"/>
          <w:color w:val="000000"/>
          <w:szCs w:val="20"/>
        </w:rPr>
        <w:t xml:space="preserve"> the</w:t>
      </w:r>
      <w:r>
        <w:rPr>
          <w:rFonts w:ascii="Arial" w:eastAsia="Times New Roman" w:hAnsi="Arial" w:cs="Arial"/>
          <w:color w:val="000000"/>
          <w:szCs w:val="20"/>
        </w:rPr>
        <w:t xml:space="preserve"> accreditation role in Aboriginal and Torres Strait Islander health outcomes project and </w:t>
      </w:r>
      <w:r w:rsidR="0051279B">
        <w:rPr>
          <w:rFonts w:ascii="Arial" w:eastAsia="Times New Roman" w:hAnsi="Arial" w:cs="Arial"/>
          <w:color w:val="00000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Cs w:val="20"/>
        </w:rPr>
        <w:t>Australian Dental Council consultation paper</w:t>
      </w:r>
      <w:r w:rsidR="0051279B">
        <w:rPr>
          <w:rFonts w:ascii="Arial" w:eastAsia="Times New Roman" w:hAnsi="Arial" w:cs="Arial"/>
          <w:color w:val="000000"/>
          <w:szCs w:val="20"/>
        </w:rPr>
        <w:t xml:space="preserve"> on cultural safety standards</w:t>
      </w:r>
      <w:r w:rsidR="00724AB3">
        <w:rPr>
          <w:rFonts w:ascii="Arial" w:eastAsia="Times New Roman" w:hAnsi="Arial" w:cs="Arial"/>
          <w:color w:val="000000"/>
          <w:szCs w:val="20"/>
        </w:rPr>
        <w:t>.</w:t>
      </w:r>
    </w:p>
    <w:p w14:paraId="0805273C" w14:textId="77777777" w:rsidR="000B0D1B" w:rsidRPr="00C40ECA" w:rsidRDefault="000B0D1B" w:rsidP="000B0D1B">
      <w:pPr>
        <w:pStyle w:val="AHPRASubheading"/>
        <w:spacing w:before="240"/>
        <w:rPr>
          <w:rFonts w:cs="Arial"/>
          <w:color w:val="0070C0"/>
        </w:rPr>
      </w:pPr>
      <w:r w:rsidRPr="00C40ECA">
        <w:rPr>
          <w:rFonts w:cs="Arial"/>
          <w:color w:val="0070C0"/>
          <w:szCs w:val="20"/>
          <w:lang w:val="en-US" w:eastAsia="en-AU"/>
        </w:rPr>
        <w:t>Next meeting</w:t>
      </w:r>
    </w:p>
    <w:p w14:paraId="48BEECD5" w14:textId="15B5721D" w:rsidR="000B0D1B" w:rsidRPr="000B0D1B" w:rsidRDefault="000B0D1B" w:rsidP="000B0D1B">
      <w:pPr>
        <w:rPr>
          <w:rFonts w:ascii="Arial" w:hAnsi="Arial" w:cs="Arial"/>
          <w:sz w:val="20"/>
          <w:szCs w:val="20"/>
        </w:rPr>
      </w:pPr>
      <w:r w:rsidRPr="008A5113">
        <w:rPr>
          <w:rFonts w:ascii="Arial" w:hAnsi="Arial" w:cs="Arial"/>
          <w:sz w:val="20"/>
          <w:szCs w:val="20"/>
        </w:rPr>
        <w:t xml:space="preserve">The next meeting will be held </w:t>
      </w:r>
      <w:r w:rsidR="003341B6">
        <w:rPr>
          <w:rFonts w:ascii="Arial" w:hAnsi="Arial" w:cs="Arial"/>
          <w:sz w:val="20"/>
          <w:szCs w:val="20"/>
        </w:rPr>
        <w:t xml:space="preserve">6 </w:t>
      </w:r>
      <w:r w:rsidR="00385095">
        <w:rPr>
          <w:rFonts w:ascii="Arial" w:hAnsi="Arial" w:cs="Arial"/>
          <w:sz w:val="20"/>
          <w:szCs w:val="20"/>
        </w:rPr>
        <w:t>December</w:t>
      </w:r>
      <w:r w:rsidR="00AE5DFD">
        <w:rPr>
          <w:rFonts w:ascii="Arial" w:hAnsi="Arial" w:cs="Arial"/>
          <w:sz w:val="20"/>
          <w:szCs w:val="20"/>
        </w:rPr>
        <w:t xml:space="preserve"> 2019</w:t>
      </w:r>
      <w:r w:rsidR="00724AB3">
        <w:rPr>
          <w:rFonts w:ascii="Arial" w:hAnsi="Arial" w:cs="Arial"/>
          <w:sz w:val="20"/>
          <w:szCs w:val="20"/>
        </w:rPr>
        <w:t>, hosted by the accreditation authority in Melbourne</w:t>
      </w:r>
      <w:r w:rsidRPr="008A5113">
        <w:rPr>
          <w:rFonts w:ascii="Arial" w:hAnsi="Arial" w:cs="Arial"/>
          <w:sz w:val="20"/>
          <w:szCs w:val="20"/>
        </w:rPr>
        <w:t>.</w:t>
      </w:r>
    </w:p>
    <w:p w14:paraId="5F907E85" w14:textId="77777777" w:rsidR="006D39FB" w:rsidRPr="006D39FB" w:rsidRDefault="008A5113" w:rsidP="006D39FB">
      <w:pPr>
        <w:pStyle w:val="AHPRASubheading"/>
        <w:spacing w:before="240"/>
        <w:rPr>
          <w:rFonts w:cs="Arial"/>
        </w:rPr>
      </w:pPr>
      <w:r w:rsidRPr="008A5113">
        <w:rPr>
          <w:rFonts w:cs="Arial"/>
        </w:rPr>
        <w:t>Attendees</w:t>
      </w:r>
    </w:p>
    <w:p w14:paraId="143E0844" w14:textId="6CE78B4A" w:rsidR="00C728D9" w:rsidRPr="00C728D9" w:rsidRDefault="00C728D9" w:rsidP="00C728D9">
      <w:pPr>
        <w:numPr>
          <w:ilvl w:val="0"/>
          <w:numId w:val="8"/>
        </w:numPr>
        <w:spacing w:before="120"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Prof Gregory Phillips, ABSTARR Consulting </w:t>
      </w:r>
      <w:r w:rsidR="0051279B">
        <w:rPr>
          <w:rFonts w:ascii="Arial" w:hAnsi="Arial"/>
          <w:sz w:val="20"/>
          <w:lang w:val="en-US"/>
        </w:rPr>
        <w:t>(</w:t>
      </w:r>
      <w:r w:rsidRPr="00C728D9">
        <w:rPr>
          <w:rFonts w:ascii="Arial" w:hAnsi="Arial"/>
          <w:sz w:val="20"/>
          <w:lang w:val="en-US"/>
        </w:rPr>
        <w:t>Co-chair)</w:t>
      </w:r>
    </w:p>
    <w:p w14:paraId="2ACFDB17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Julie </w:t>
      </w:r>
      <w:proofErr w:type="spellStart"/>
      <w:r w:rsidRPr="00C728D9">
        <w:rPr>
          <w:rFonts w:ascii="Arial" w:hAnsi="Arial"/>
          <w:sz w:val="20"/>
          <w:lang w:val="en-US"/>
        </w:rPr>
        <w:t>Brayshaw</w:t>
      </w:r>
      <w:proofErr w:type="spellEnd"/>
      <w:r w:rsidRPr="00C728D9">
        <w:rPr>
          <w:rFonts w:ascii="Arial" w:hAnsi="Arial"/>
          <w:sz w:val="20"/>
          <w:lang w:val="en-US"/>
        </w:rPr>
        <w:t>, Occupational Therapy Board of Australia (Co-chair)</w:t>
      </w:r>
    </w:p>
    <w:p w14:paraId="0314D8A7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Prof Noel Hayman, Southern Queensland Centre of Excellence</w:t>
      </w:r>
    </w:p>
    <w:p w14:paraId="51C8233B" w14:textId="09D77E09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Karl Briscoe, NATSIH</w:t>
      </w:r>
      <w:r w:rsidR="0051279B">
        <w:rPr>
          <w:rFonts w:ascii="Arial" w:hAnsi="Arial"/>
          <w:sz w:val="20"/>
          <w:lang w:val="en-US"/>
        </w:rPr>
        <w:t>W</w:t>
      </w:r>
      <w:r w:rsidRPr="00C728D9">
        <w:rPr>
          <w:rFonts w:ascii="Arial" w:hAnsi="Arial"/>
          <w:sz w:val="20"/>
          <w:lang w:val="en-US"/>
        </w:rPr>
        <w:t>A</w:t>
      </w:r>
    </w:p>
    <w:p w14:paraId="05FC80DB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Marni </w:t>
      </w:r>
      <w:proofErr w:type="spellStart"/>
      <w:r w:rsidRPr="00C728D9">
        <w:rPr>
          <w:rFonts w:ascii="Arial" w:hAnsi="Arial"/>
          <w:sz w:val="20"/>
          <w:lang w:val="en-US"/>
        </w:rPr>
        <w:t>Tuala</w:t>
      </w:r>
      <w:proofErr w:type="spellEnd"/>
      <w:r w:rsidRPr="00C728D9">
        <w:rPr>
          <w:rFonts w:ascii="Arial" w:hAnsi="Arial"/>
          <w:sz w:val="20"/>
          <w:lang w:val="en-US"/>
        </w:rPr>
        <w:t xml:space="preserve">, </w:t>
      </w:r>
      <w:proofErr w:type="spellStart"/>
      <w:r w:rsidRPr="00C728D9">
        <w:rPr>
          <w:rFonts w:ascii="Arial" w:hAnsi="Arial"/>
          <w:sz w:val="20"/>
          <w:lang w:val="en-US"/>
        </w:rPr>
        <w:t>CATSINaM</w:t>
      </w:r>
      <w:proofErr w:type="spellEnd"/>
    </w:p>
    <w:p w14:paraId="42E803B0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Luke Taylor, Podiatry Council of NSW</w:t>
      </w:r>
    </w:p>
    <w:p w14:paraId="59E23E45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Christopher O’Brien, Aboriginal and Torres Strait Islander Health Practice Council of NSW</w:t>
      </w:r>
    </w:p>
    <w:p w14:paraId="577BB3E8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lastRenderedPageBreak/>
        <w:t>Dr Sabine Hammond, Australian Indigenous Psychology Education Project (proxy for Pat Dudgeon)</w:t>
      </w:r>
    </w:p>
    <w:p w14:paraId="3FB1B920" w14:textId="2B0AE554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proofErr w:type="spellStart"/>
      <w:r w:rsidRPr="00C728D9">
        <w:rPr>
          <w:rFonts w:ascii="Arial" w:hAnsi="Arial"/>
          <w:sz w:val="20"/>
          <w:lang w:val="en-US"/>
        </w:rPr>
        <w:t>Theanne</w:t>
      </w:r>
      <w:proofErr w:type="spellEnd"/>
      <w:r w:rsidRPr="00C728D9">
        <w:rPr>
          <w:rFonts w:ascii="Arial" w:hAnsi="Arial"/>
          <w:sz w:val="20"/>
          <w:lang w:val="en-US"/>
        </w:rPr>
        <w:t xml:space="preserve"> Walters, </w:t>
      </w:r>
      <w:r w:rsidR="0051279B">
        <w:rPr>
          <w:rFonts w:ascii="Arial" w:hAnsi="Arial"/>
          <w:sz w:val="20"/>
          <w:lang w:val="en-US"/>
        </w:rPr>
        <w:t>Australian Medical Council</w:t>
      </w:r>
    </w:p>
    <w:p w14:paraId="2017E568" w14:textId="6E5E4740" w:rsidR="00C728D9" w:rsidRPr="00C728D9" w:rsidRDefault="0051279B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Dr </w:t>
      </w:r>
      <w:r w:rsidR="00C728D9" w:rsidRPr="00C728D9">
        <w:rPr>
          <w:rFonts w:ascii="Arial" w:hAnsi="Arial"/>
          <w:sz w:val="20"/>
          <w:lang w:val="en-US"/>
        </w:rPr>
        <w:t xml:space="preserve">Ailsa Wood, Chiropractic Board of Australia </w:t>
      </w:r>
    </w:p>
    <w:p w14:paraId="4FC88605" w14:textId="014F4106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Dr Lisa Whop, AHPRA Community Reference Group </w:t>
      </w:r>
      <w:r w:rsidR="0051279B">
        <w:rPr>
          <w:rFonts w:ascii="Arial" w:hAnsi="Arial"/>
          <w:sz w:val="20"/>
          <w:lang w:val="en-US"/>
        </w:rPr>
        <w:t>(</w:t>
      </w:r>
      <w:r w:rsidRPr="00C728D9">
        <w:rPr>
          <w:rFonts w:ascii="Arial" w:hAnsi="Arial"/>
          <w:sz w:val="20"/>
          <w:lang w:val="en-US"/>
        </w:rPr>
        <w:t>proxy for Darlene Cox)</w:t>
      </w:r>
    </w:p>
    <w:p w14:paraId="5ACA5358" w14:textId="5C0C9AFC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Jacqui Gibson-</w:t>
      </w:r>
      <w:proofErr w:type="spellStart"/>
      <w:r w:rsidRPr="00C728D9">
        <w:rPr>
          <w:rFonts w:ascii="Arial" w:hAnsi="Arial"/>
          <w:sz w:val="20"/>
          <w:lang w:val="en-US"/>
        </w:rPr>
        <w:t>Roos</w:t>
      </w:r>
      <w:proofErr w:type="spellEnd"/>
      <w:r w:rsidRPr="00C728D9">
        <w:rPr>
          <w:rFonts w:ascii="Arial" w:hAnsi="Arial"/>
          <w:sz w:val="20"/>
          <w:lang w:val="en-US"/>
        </w:rPr>
        <w:t xml:space="preserve">, </w:t>
      </w:r>
      <w:r w:rsidR="0051279B" w:rsidRPr="00C728D9">
        <w:rPr>
          <w:rFonts w:ascii="Arial" w:hAnsi="Arial"/>
          <w:sz w:val="20"/>
          <w:lang w:val="en-US"/>
        </w:rPr>
        <w:t>Dental</w:t>
      </w:r>
      <w:r w:rsidR="0051279B">
        <w:rPr>
          <w:rFonts w:ascii="Arial" w:hAnsi="Arial"/>
          <w:sz w:val="20"/>
          <w:lang w:val="en-US"/>
        </w:rPr>
        <w:t xml:space="preserve"> Board of</w:t>
      </w:r>
      <w:r w:rsidR="0051279B" w:rsidRPr="00C728D9">
        <w:rPr>
          <w:rFonts w:ascii="Arial" w:hAnsi="Arial"/>
          <w:sz w:val="20"/>
          <w:lang w:val="en-US"/>
        </w:rPr>
        <w:t xml:space="preserve"> </w:t>
      </w:r>
      <w:r w:rsidRPr="00C728D9">
        <w:rPr>
          <w:rFonts w:ascii="Arial" w:hAnsi="Arial"/>
          <w:sz w:val="20"/>
          <w:lang w:val="en-US"/>
        </w:rPr>
        <w:t>Australia</w:t>
      </w:r>
    </w:p>
    <w:p w14:paraId="1EEC3588" w14:textId="07C15547" w:rsid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Narelle Mills, Health Professions Accreditation Collaborative Forum</w:t>
      </w:r>
    </w:p>
    <w:p w14:paraId="1EF12B3C" w14:textId="7EEF8D71" w:rsidR="00C728D9" w:rsidRPr="00C728D9" w:rsidRDefault="00C728D9" w:rsidP="00C728D9">
      <w:pPr>
        <w:pStyle w:val="AHPRAnumberedbulletpoint"/>
        <w:numPr>
          <w:ilvl w:val="0"/>
          <w:numId w:val="8"/>
        </w:numPr>
        <w:spacing w:before="0" w:after="0"/>
        <w:ind w:left="1080"/>
        <w:rPr>
          <w:sz w:val="20"/>
        </w:rPr>
      </w:pPr>
      <w:r w:rsidRPr="00C728D9">
        <w:rPr>
          <w:sz w:val="20"/>
        </w:rPr>
        <w:t>Dr Jessa Rogers, Nursing and Midwifery Boards of Australia</w:t>
      </w:r>
    </w:p>
    <w:p w14:paraId="66CE5EB9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Prof </w:t>
      </w:r>
      <w:proofErr w:type="spellStart"/>
      <w:r w:rsidRPr="00C728D9">
        <w:rPr>
          <w:rFonts w:ascii="Arial" w:hAnsi="Arial"/>
          <w:sz w:val="20"/>
          <w:lang w:val="en-US"/>
        </w:rPr>
        <w:t>Roianne</w:t>
      </w:r>
      <w:proofErr w:type="spellEnd"/>
      <w:r w:rsidRPr="00C728D9">
        <w:rPr>
          <w:rFonts w:ascii="Arial" w:hAnsi="Arial"/>
          <w:sz w:val="20"/>
          <w:lang w:val="en-US"/>
        </w:rPr>
        <w:t xml:space="preserve"> West, Griffith University</w:t>
      </w:r>
    </w:p>
    <w:p w14:paraId="1614C184" w14:textId="6AA29CB9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Donna Murray, </w:t>
      </w:r>
      <w:r w:rsidR="0051279B">
        <w:rPr>
          <w:rFonts w:ascii="Arial" w:hAnsi="Arial"/>
          <w:sz w:val="20"/>
          <w:lang w:val="en-US"/>
        </w:rPr>
        <w:t>National Health Leadership Forum</w:t>
      </w:r>
    </w:p>
    <w:p w14:paraId="3550A46B" w14:textId="7B63439D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Linda </w:t>
      </w:r>
      <w:proofErr w:type="spellStart"/>
      <w:r w:rsidRPr="00C728D9">
        <w:rPr>
          <w:rFonts w:ascii="Arial" w:hAnsi="Arial"/>
          <w:sz w:val="20"/>
          <w:lang w:val="en-US"/>
        </w:rPr>
        <w:t>Renouf</w:t>
      </w:r>
      <w:proofErr w:type="spellEnd"/>
      <w:r w:rsidRPr="00C728D9">
        <w:rPr>
          <w:rFonts w:ascii="Arial" w:hAnsi="Arial"/>
          <w:sz w:val="20"/>
          <w:lang w:val="en-US"/>
        </w:rPr>
        <w:t xml:space="preserve">, </w:t>
      </w:r>
      <w:r w:rsidR="0051279B">
        <w:rPr>
          <w:rFonts w:ascii="Arial" w:hAnsi="Arial"/>
          <w:sz w:val="20"/>
          <w:lang w:val="en-US"/>
        </w:rPr>
        <w:t>Paramedicine Board of Australia</w:t>
      </w:r>
    </w:p>
    <w:p w14:paraId="71C070F0" w14:textId="2A25D925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Gill McAllister</w:t>
      </w:r>
      <w:r w:rsidR="003341B6">
        <w:rPr>
          <w:rFonts w:ascii="Arial" w:hAnsi="Arial"/>
          <w:sz w:val="20"/>
          <w:lang w:val="en-US"/>
        </w:rPr>
        <w:t xml:space="preserve"> PSM</w:t>
      </w:r>
      <w:r w:rsidRPr="00C728D9">
        <w:rPr>
          <w:rFonts w:ascii="Arial" w:hAnsi="Arial"/>
          <w:sz w:val="20"/>
          <w:lang w:val="en-US"/>
        </w:rPr>
        <w:t xml:space="preserve">, Chair of </w:t>
      </w:r>
      <w:r w:rsidR="0051279B">
        <w:rPr>
          <w:rFonts w:ascii="Arial" w:hAnsi="Arial"/>
          <w:sz w:val="20"/>
          <w:lang w:val="en-US"/>
        </w:rPr>
        <w:t>Agency Management Committee</w:t>
      </w:r>
    </w:p>
    <w:p w14:paraId="7EB99FBE" w14:textId="3DDD4302" w:rsidR="00C728D9" w:rsidRPr="00C728D9" w:rsidRDefault="0051279B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Dr </w:t>
      </w:r>
      <w:r w:rsidR="00C728D9" w:rsidRPr="00C728D9">
        <w:rPr>
          <w:rFonts w:ascii="Arial" w:hAnsi="Arial"/>
          <w:sz w:val="20"/>
          <w:lang w:val="en-US"/>
        </w:rPr>
        <w:t>Hannah McGlade, M</w:t>
      </w:r>
      <w:r>
        <w:rPr>
          <w:rFonts w:ascii="Arial" w:hAnsi="Arial"/>
          <w:sz w:val="20"/>
          <w:lang w:val="en-US"/>
        </w:rPr>
        <w:t xml:space="preserve">edical </w:t>
      </w:r>
      <w:r w:rsidR="00C728D9" w:rsidRPr="00C728D9">
        <w:rPr>
          <w:rFonts w:ascii="Arial" w:hAnsi="Arial"/>
          <w:sz w:val="20"/>
          <w:lang w:val="en-US"/>
        </w:rPr>
        <w:t>B</w:t>
      </w:r>
      <w:r>
        <w:rPr>
          <w:rFonts w:ascii="Arial" w:hAnsi="Arial"/>
          <w:sz w:val="20"/>
          <w:lang w:val="en-US"/>
        </w:rPr>
        <w:t xml:space="preserve">oard of </w:t>
      </w:r>
      <w:r w:rsidR="00C728D9" w:rsidRPr="00C728D9">
        <w:rPr>
          <w:rFonts w:ascii="Arial" w:hAnsi="Arial"/>
          <w:sz w:val="20"/>
          <w:lang w:val="en-US"/>
        </w:rPr>
        <w:t>A</w:t>
      </w:r>
      <w:r>
        <w:rPr>
          <w:rFonts w:ascii="Arial" w:hAnsi="Arial"/>
          <w:sz w:val="20"/>
          <w:lang w:val="en-US"/>
        </w:rPr>
        <w:t>ustralia</w:t>
      </w:r>
    </w:p>
    <w:p w14:paraId="3F86E649" w14:textId="77777777" w:rsidR="003341B6" w:rsidRDefault="003341B6" w:rsidP="003341B6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 w:rsidRPr="00680D21">
        <w:rPr>
          <w:rFonts w:eastAsia="Times New Roman"/>
          <w:color w:val="000000"/>
          <w:sz w:val="20"/>
          <w:szCs w:val="20"/>
        </w:rPr>
        <w:t xml:space="preserve">Ms Tanja </w:t>
      </w:r>
      <w:proofErr w:type="spellStart"/>
      <w:r w:rsidRPr="00680D21">
        <w:rPr>
          <w:rFonts w:eastAsia="Times New Roman"/>
          <w:color w:val="000000"/>
          <w:sz w:val="20"/>
          <w:szCs w:val="20"/>
        </w:rPr>
        <w:t>Hirvonen</w:t>
      </w:r>
      <w:proofErr w:type="spellEnd"/>
      <w:r w:rsidRPr="00680D21">
        <w:rPr>
          <w:rFonts w:eastAsia="Times New Roman"/>
          <w:color w:val="000000"/>
          <w:sz w:val="20"/>
          <w:szCs w:val="20"/>
        </w:rPr>
        <w:t>, Australian Indigenous Psychologists Association</w:t>
      </w:r>
    </w:p>
    <w:p w14:paraId="32324644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Eliza Collier, AHPRA</w:t>
      </w:r>
    </w:p>
    <w:p w14:paraId="4DBE7D7D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Jill Humphreys, AHPRA</w:t>
      </w:r>
    </w:p>
    <w:p w14:paraId="1FE0F5A2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Chris Robertson, AHPRA</w:t>
      </w:r>
    </w:p>
    <w:p w14:paraId="614FDBB2" w14:textId="1874D314" w:rsidR="00C728D9" w:rsidRPr="0051279B" w:rsidRDefault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 xml:space="preserve">Martin Fletcher, AHPRA </w:t>
      </w:r>
    </w:p>
    <w:p w14:paraId="4FAC2B88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Anita Rivera, AHPRA</w:t>
      </w:r>
    </w:p>
    <w:p w14:paraId="1B0EE184" w14:textId="77777777" w:rsidR="00C728D9" w:rsidRPr="00C728D9" w:rsidRDefault="00C728D9" w:rsidP="00C728D9">
      <w:pPr>
        <w:numPr>
          <w:ilvl w:val="0"/>
          <w:numId w:val="8"/>
        </w:numPr>
        <w:spacing w:after="0"/>
        <w:ind w:left="1080"/>
        <w:rPr>
          <w:rFonts w:ascii="Arial" w:hAnsi="Arial"/>
          <w:sz w:val="20"/>
          <w:lang w:val="en-US"/>
        </w:rPr>
      </w:pPr>
      <w:r w:rsidRPr="00C728D9">
        <w:rPr>
          <w:rFonts w:ascii="Arial" w:hAnsi="Arial"/>
          <w:sz w:val="20"/>
          <w:lang w:val="en-US"/>
        </w:rPr>
        <w:t>Jayde Fuller, AHPRA</w:t>
      </w:r>
    </w:p>
    <w:p w14:paraId="119BBEFF" w14:textId="54D256E5" w:rsidR="00424AD7" w:rsidRPr="00160B49" w:rsidRDefault="00C728D9" w:rsidP="00160B49">
      <w:pPr>
        <w:numPr>
          <w:ilvl w:val="0"/>
          <w:numId w:val="8"/>
        </w:numPr>
        <w:spacing w:after="0"/>
        <w:ind w:left="1080"/>
        <w:rPr>
          <w:rFonts w:eastAsia="Times New Roman"/>
          <w:color w:val="000000"/>
          <w:sz w:val="20"/>
          <w:szCs w:val="20"/>
        </w:rPr>
      </w:pPr>
      <w:r w:rsidRPr="00C728D9">
        <w:rPr>
          <w:rFonts w:ascii="Arial" w:hAnsi="Arial"/>
          <w:sz w:val="20"/>
          <w:lang w:val="en-US"/>
        </w:rPr>
        <w:t xml:space="preserve">Kristin </w:t>
      </w:r>
      <w:proofErr w:type="spellStart"/>
      <w:r w:rsidRPr="00C728D9">
        <w:rPr>
          <w:rFonts w:ascii="Arial" w:hAnsi="Arial"/>
          <w:sz w:val="20"/>
          <w:lang w:val="en-US"/>
        </w:rPr>
        <w:t>Wuruki</w:t>
      </w:r>
      <w:proofErr w:type="spellEnd"/>
      <w:r w:rsidRPr="00C728D9">
        <w:rPr>
          <w:rFonts w:ascii="Arial" w:hAnsi="Arial"/>
          <w:sz w:val="20"/>
          <w:lang w:val="en-US"/>
        </w:rPr>
        <w:t>, AHPRA</w:t>
      </w:r>
    </w:p>
    <w:p w14:paraId="5F1E4105" w14:textId="77777777" w:rsidR="00424AD7" w:rsidRPr="00680D21" w:rsidRDefault="00424AD7" w:rsidP="00045E5C">
      <w:pPr>
        <w:pStyle w:val="AHPRAnumberedbulletpoint"/>
        <w:numPr>
          <w:ilvl w:val="0"/>
          <w:numId w:val="0"/>
        </w:numPr>
        <w:rPr>
          <w:rFonts w:eastAsia="Times New Roman"/>
          <w:b/>
          <w:color w:val="000000"/>
          <w:sz w:val="20"/>
          <w:szCs w:val="20"/>
        </w:rPr>
      </w:pPr>
      <w:r w:rsidRPr="00680D21">
        <w:rPr>
          <w:rFonts w:eastAsia="Times New Roman"/>
          <w:b/>
          <w:color w:val="000000"/>
          <w:sz w:val="20"/>
          <w:szCs w:val="20"/>
        </w:rPr>
        <w:t>Apologies</w:t>
      </w:r>
    </w:p>
    <w:p w14:paraId="52C6881E" w14:textId="078C9136" w:rsidR="005933BF" w:rsidRPr="00680D21" w:rsidRDefault="005933BF" w:rsidP="005933BF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bookmarkStart w:id="1" w:name="_Hlk14953570"/>
      <w:bookmarkStart w:id="2" w:name="_Hlk528228918"/>
      <w:r w:rsidRPr="00680D21">
        <w:rPr>
          <w:rFonts w:eastAsia="Times New Roman"/>
          <w:color w:val="000000"/>
          <w:sz w:val="20"/>
          <w:szCs w:val="20"/>
        </w:rPr>
        <w:t>Renee Owen, Aboriginal and Torres Strait Islander Health Practice Board of Australia</w:t>
      </w:r>
    </w:p>
    <w:p w14:paraId="21582E58" w14:textId="0A2773C2" w:rsidR="00424AD7" w:rsidRPr="003341B6" w:rsidRDefault="003341B6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Dawn Casey</w:t>
      </w:r>
      <w:r w:rsidR="00424AD7" w:rsidRPr="00680D21">
        <w:rPr>
          <w:rFonts w:eastAsia="Times New Roman"/>
          <w:color w:val="000000"/>
          <w:sz w:val="20"/>
          <w:szCs w:val="20"/>
        </w:rPr>
        <w:t>, National Aboriginal Community Controlled Health Organisation</w:t>
      </w:r>
    </w:p>
    <w:p w14:paraId="4EF6A090" w14:textId="40EA8513" w:rsidR="00424AD7" w:rsidRDefault="005933BF" w:rsidP="005933BF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 w:rsidRPr="00680D21">
        <w:rPr>
          <w:rFonts w:eastAsia="Times New Roman"/>
          <w:color w:val="000000"/>
          <w:sz w:val="20"/>
          <w:szCs w:val="20"/>
        </w:rPr>
        <w:t xml:space="preserve">Dr </w:t>
      </w:r>
      <w:proofErr w:type="spellStart"/>
      <w:r w:rsidR="00424AD7" w:rsidRPr="00680D21">
        <w:rPr>
          <w:rFonts w:eastAsia="Times New Roman"/>
          <w:color w:val="000000"/>
          <w:sz w:val="20"/>
          <w:szCs w:val="20"/>
        </w:rPr>
        <w:t>Ngiare</w:t>
      </w:r>
      <w:proofErr w:type="spellEnd"/>
      <w:r w:rsidR="00424AD7" w:rsidRPr="00680D21">
        <w:rPr>
          <w:rFonts w:eastAsia="Times New Roman"/>
          <w:color w:val="000000"/>
          <w:sz w:val="20"/>
          <w:szCs w:val="20"/>
        </w:rPr>
        <w:t xml:space="preserve"> Brown, University of Wollongong </w:t>
      </w:r>
    </w:p>
    <w:p w14:paraId="4BD20C08" w14:textId="5FE90CC1" w:rsidR="00AA203C" w:rsidRDefault="00AA203C" w:rsidP="006469AA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Mary Guthrie, Australian Indigenous Doctors Association</w:t>
      </w:r>
    </w:p>
    <w:p w14:paraId="0A9B2F98" w14:textId="685F10FB" w:rsidR="00AA203C" w:rsidRDefault="00AA203C" w:rsidP="006469AA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Dr Anne Tonkin, Chair of the Medical Board of Australia</w:t>
      </w:r>
    </w:p>
    <w:p w14:paraId="221B6DB0" w14:textId="2A6E9BEC" w:rsidR="00AA203C" w:rsidRDefault="00AA203C" w:rsidP="006469AA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Professor Mark </w:t>
      </w:r>
      <w:proofErr w:type="spellStart"/>
      <w:r>
        <w:rPr>
          <w:rFonts w:eastAsia="Times New Roman"/>
          <w:color w:val="000000"/>
          <w:sz w:val="20"/>
          <w:szCs w:val="20"/>
        </w:rPr>
        <w:t>Wenitong</w:t>
      </w:r>
      <w:proofErr w:type="spellEnd"/>
      <w:r w:rsidR="003341B6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="003341B6">
        <w:rPr>
          <w:rFonts w:eastAsia="Times New Roman"/>
          <w:color w:val="000000"/>
          <w:sz w:val="20"/>
          <w:szCs w:val="20"/>
        </w:rPr>
        <w:t>Apunipima</w:t>
      </w:r>
      <w:proofErr w:type="spellEnd"/>
      <w:r w:rsidR="003341B6">
        <w:rPr>
          <w:rFonts w:eastAsia="Times New Roman"/>
          <w:color w:val="000000"/>
          <w:sz w:val="20"/>
          <w:szCs w:val="20"/>
        </w:rPr>
        <w:t xml:space="preserve"> Cape York Health Council</w:t>
      </w:r>
    </w:p>
    <w:p w14:paraId="3A717286" w14:textId="7899AD30" w:rsidR="00AA203C" w:rsidRDefault="00AA203C" w:rsidP="006469AA">
      <w:pPr>
        <w:pStyle w:val="AHPRAnumberedbulletpoint"/>
        <w:numPr>
          <w:ilvl w:val="0"/>
          <w:numId w:val="8"/>
        </w:numPr>
        <w:spacing w:before="0"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Kym </w:t>
      </w:r>
      <w:proofErr w:type="spellStart"/>
      <w:r>
        <w:rPr>
          <w:rFonts w:eastAsia="Times New Roman"/>
          <w:color w:val="000000"/>
          <w:sz w:val="20"/>
          <w:szCs w:val="20"/>
        </w:rPr>
        <w:t>Ayscough</w:t>
      </w:r>
      <w:proofErr w:type="spellEnd"/>
      <w:r>
        <w:rPr>
          <w:rFonts w:eastAsia="Times New Roman"/>
          <w:color w:val="000000"/>
          <w:sz w:val="20"/>
          <w:szCs w:val="20"/>
        </w:rPr>
        <w:t>, AHPRA</w:t>
      </w:r>
    </w:p>
    <w:p w14:paraId="1D113EF1" w14:textId="6D53EE3C" w:rsidR="00C728D9" w:rsidRPr="00C728D9" w:rsidRDefault="00C728D9" w:rsidP="00C728D9">
      <w:pPr>
        <w:pStyle w:val="AHPRAnumberedbulletpoint"/>
        <w:numPr>
          <w:ilvl w:val="0"/>
          <w:numId w:val="8"/>
        </w:numPr>
        <w:spacing w:before="0" w:after="0"/>
      </w:pPr>
      <w:r w:rsidRPr="00C728D9">
        <w:rPr>
          <w:sz w:val="20"/>
        </w:rPr>
        <w:t>Tania Dalton, Australian Indigenous Psychologists Association</w:t>
      </w:r>
      <w:bookmarkEnd w:id="1"/>
    </w:p>
    <w:p w14:paraId="0000058B" w14:textId="77777777" w:rsidR="006469AA" w:rsidRPr="00680D21" w:rsidRDefault="006469AA" w:rsidP="006469AA">
      <w:pPr>
        <w:pStyle w:val="AHPRAnumberedbulletpoint"/>
        <w:numPr>
          <w:ilvl w:val="0"/>
          <w:numId w:val="0"/>
        </w:numPr>
        <w:spacing w:before="0" w:after="0"/>
        <w:ind w:left="1229" w:hanging="567"/>
        <w:rPr>
          <w:rFonts w:eastAsia="Times New Roman"/>
          <w:color w:val="000000"/>
          <w:sz w:val="20"/>
          <w:szCs w:val="20"/>
        </w:rPr>
      </w:pPr>
    </w:p>
    <w:bookmarkEnd w:id="2"/>
    <w:p w14:paraId="2BC0F45B" w14:textId="77777777" w:rsidR="00F466B9" w:rsidRPr="00680D21" w:rsidRDefault="00F466B9" w:rsidP="00424AD7">
      <w:pPr>
        <w:pStyle w:val="AHPRASubheading"/>
        <w:spacing w:before="240"/>
        <w:rPr>
          <w:rFonts w:eastAsia="Times New Roman" w:cs="Arial"/>
          <w:b w:val="0"/>
          <w:color w:val="000000"/>
          <w:szCs w:val="20"/>
        </w:rPr>
      </w:pPr>
    </w:p>
    <w:sectPr w:rsidR="00F466B9" w:rsidRPr="00680D21" w:rsidSect="008A5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27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BCBB" w14:textId="77777777" w:rsidR="00E65F3A" w:rsidRDefault="00E65F3A" w:rsidP="001F7178">
      <w:pPr>
        <w:spacing w:after="0"/>
      </w:pPr>
      <w:r>
        <w:separator/>
      </w:r>
    </w:p>
  </w:endnote>
  <w:endnote w:type="continuationSeparator" w:id="0">
    <w:p w14:paraId="2230CBBC" w14:textId="77777777" w:rsidR="00E65F3A" w:rsidRDefault="00E65F3A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57EC" w14:textId="77777777" w:rsidR="00D44F0E" w:rsidRDefault="00DF637D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6D280" w14:textId="77777777" w:rsidR="00D44F0E" w:rsidRDefault="00D44F0E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FF68" w14:textId="2B06560A" w:rsidR="00D44F0E" w:rsidRPr="003079DE" w:rsidRDefault="00DF637D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D44F0E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1C0497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14:paraId="6C5EE044" w14:textId="77777777" w:rsidR="00D44F0E" w:rsidRPr="00D638E0" w:rsidRDefault="00D44F0E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14:paraId="0ECE8658" w14:textId="77777777" w:rsidR="00D44F0E" w:rsidRPr="00D638E0" w:rsidRDefault="00D44F0E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47F57C" w14:textId="59FE2F1F" w:rsidR="00D44F0E" w:rsidRPr="003079DE" w:rsidRDefault="00DF637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D44F0E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1C0497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7A150B7" w14:textId="77777777" w:rsidR="00D44F0E" w:rsidRPr="00D638E0" w:rsidRDefault="00D44F0E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14:paraId="62A25EEF" w14:textId="77777777" w:rsidR="00D44F0E" w:rsidRPr="00AD312E" w:rsidRDefault="00D44F0E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0851" w14:textId="77777777" w:rsidR="00E65F3A" w:rsidRDefault="00E65F3A" w:rsidP="001F7178">
      <w:pPr>
        <w:spacing w:after="0"/>
      </w:pPr>
      <w:r>
        <w:separator/>
      </w:r>
    </w:p>
  </w:footnote>
  <w:footnote w:type="continuationSeparator" w:id="0">
    <w:p w14:paraId="51C98210" w14:textId="77777777" w:rsidR="00E65F3A" w:rsidRDefault="00E65F3A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A5EB" w14:textId="77777777" w:rsidR="005933BF" w:rsidRDefault="00593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21CD" w14:textId="78C31E10" w:rsidR="00D44F0E" w:rsidRPr="00315933" w:rsidRDefault="00D44F0E" w:rsidP="001F7178">
    <w:pPr>
      <w:pStyle w:val="Header"/>
      <w:ind w:left="-1134" w:righ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0830" w14:textId="77777777" w:rsidR="00D44F0E" w:rsidRDefault="00D44F0E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 wp14:anchorId="0FA70286" wp14:editId="15188515">
          <wp:extent cx="2960516" cy="1238250"/>
          <wp:effectExtent l="0" t="0" r="0" b="0"/>
          <wp:docPr id="10" name="Picture 10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AC"/>
    <w:multiLevelType w:val="multilevel"/>
    <w:tmpl w:val="6E5ACF60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" w15:restartNumberingAfterBreak="0">
    <w:nsid w:val="2B7C69EF"/>
    <w:multiLevelType w:val="hybridMultilevel"/>
    <w:tmpl w:val="73CE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02C74"/>
    <w:multiLevelType w:val="hybridMultilevel"/>
    <w:tmpl w:val="1B66879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-1076"/>
        </w:tabs>
        <w:ind w:left="-107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2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120" w:hanging="360"/>
      </w:pPr>
      <w:rPr>
        <w:rFonts w:ascii="Symbol" w:hAnsi="Symbol" w:hint="default"/>
      </w:rPr>
    </w:lvl>
  </w:abstractNum>
  <w:abstractNum w:abstractNumId="4" w15:restartNumberingAfterBreak="0">
    <w:nsid w:val="553C1924"/>
    <w:multiLevelType w:val="hybridMultilevel"/>
    <w:tmpl w:val="16285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"/>
      <w:lvlText w:val="%1"/>
      <w:lvlJc w:val="left"/>
      <w:pPr>
        <w:ind w:left="662" w:hanging="284"/>
      </w:pPr>
      <w:rPr>
        <w:rFonts w:ascii="Arial" w:hAnsi="Arial" w:cs="Times New Roman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1229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355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538" w:hanging="360"/>
      </w:pPr>
    </w:lvl>
    <w:lvl w:ilvl="4">
      <w:start w:val="1"/>
      <w:numFmt w:val="lowerLetter"/>
      <w:lvlText w:val="(%5)"/>
      <w:lvlJc w:val="left"/>
      <w:pPr>
        <w:ind w:left="3898" w:hanging="360"/>
      </w:pPr>
    </w:lvl>
    <w:lvl w:ilvl="5">
      <w:start w:val="1"/>
      <w:numFmt w:val="lowerRoman"/>
      <w:lvlText w:val="(%6)"/>
      <w:lvlJc w:val="left"/>
      <w:pPr>
        <w:ind w:left="4258" w:hanging="360"/>
      </w:pPr>
    </w:lvl>
    <w:lvl w:ilvl="6">
      <w:start w:val="1"/>
      <w:numFmt w:val="decimal"/>
      <w:lvlText w:val="%7."/>
      <w:lvlJc w:val="left"/>
      <w:pPr>
        <w:ind w:left="4618" w:hanging="360"/>
      </w:pPr>
    </w:lvl>
    <w:lvl w:ilvl="7">
      <w:start w:val="1"/>
      <w:numFmt w:val="lowerLetter"/>
      <w:lvlText w:val="%8."/>
      <w:lvlJc w:val="left"/>
      <w:pPr>
        <w:ind w:left="4978" w:hanging="360"/>
      </w:pPr>
    </w:lvl>
    <w:lvl w:ilvl="8">
      <w:start w:val="1"/>
      <w:numFmt w:val="lowerRoman"/>
      <w:lvlText w:val="%9."/>
      <w:lvlJc w:val="left"/>
      <w:pPr>
        <w:ind w:left="5338" w:hanging="360"/>
      </w:pPr>
    </w:lvl>
  </w:abstractNum>
  <w:abstractNum w:abstractNumId="7" w15:restartNumberingAfterBreak="0">
    <w:nsid w:val="7FCB7641"/>
    <w:multiLevelType w:val="hybridMultilevel"/>
    <w:tmpl w:val="D54C5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0"/>
    <w:lvlOverride w:ilvl="1">
      <w:lvl w:ilvl="1">
        <w:start w:val="1"/>
        <w:numFmt w:val="decimal"/>
        <w:lvlText w:val="%1.%2"/>
        <w:lvlJc w:val="left"/>
        <w:pPr>
          <w:ind w:left="851" w:hanging="567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/>
          <w:i w:val="0"/>
          <w:color w:val="auto"/>
          <w:sz w:val="2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40"/>
    <w:rsid w:val="0000013D"/>
    <w:rsid w:val="0000218A"/>
    <w:rsid w:val="00002CB8"/>
    <w:rsid w:val="0000716E"/>
    <w:rsid w:val="00013BF1"/>
    <w:rsid w:val="00026C0B"/>
    <w:rsid w:val="00026ECB"/>
    <w:rsid w:val="00027A81"/>
    <w:rsid w:val="00032F36"/>
    <w:rsid w:val="00045E5C"/>
    <w:rsid w:val="00055AE0"/>
    <w:rsid w:val="0007162E"/>
    <w:rsid w:val="0007429A"/>
    <w:rsid w:val="00076CCF"/>
    <w:rsid w:val="000B0D1B"/>
    <w:rsid w:val="000B1588"/>
    <w:rsid w:val="000B71EF"/>
    <w:rsid w:val="000D0AEE"/>
    <w:rsid w:val="000D19D6"/>
    <w:rsid w:val="000E5E92"/>
    <w:rsid w:val="00104B21"/>
    <w:rsid w:val="0011026F"/>
    <w:rsid w:val="0013196A"/>
    <w:rsid w:val="00133664"/>
    <w:rsid w:val="00136010"/>
    <w:rsid w:val="00160B49"/>
    <w:rsid w:val="00160E48"/>
    <w:rsid w:val="001673C8"/>
    <w:rsid w:val="00170D1F"/>
    <w:rsid w:val="00171127"/>
    <w:rsid w:val="001A39C7"/>
    <w:rsid w:val="001C0497"/>
    <w:rsid w:val="001D461B"/>
    <w:rsid w:val="001E0375"/>
    <w:rsid w:val="001E6874"/>
    <w:rsid w:val="001F0630"/>
    <w:rsid w:val="001F7178"/>
    <w:rsid w:val="00211FBA"/>
    <w:rsid w:val="00224C35"/>
    <w:rsid w:val="00237B04"/>
    <w:rsid w:val="00241E63"/>
    <w:rsid w:val="0025708F"/>
    <w:rsid w:val="00262FDE"/>
    <w:rsid w:val="0026311D"/>
    <w:rsid w:val="002A753D"/>
    <w:rsid w:val="002B39B6"/>
    <w:rsid w:val="002D02D6"/>
    <w:rsid w:val="002D1295"/>
    <w:rsid w:val="002E378F"/>
    <w:rsid w:val="002F6247"/>
    <w:rsid w:val="003079DE"/>
    <w:rsid w:val="00322EE8"/>
    <w:rsid w:val="003265E1"/>
    <w:rsid w:val="003341B6"/>
    <w:rsid w:val="0033677E"/>
    <w:rsid w:val="00341C1B"/>
    <w:rsid w:val="00352F61"/>
    <w:rsid w:val="003542C2"/>
    <w:rsid w:val="00372289"/>
    <w:rsid w:val="00385095"/>
    <w:rsid w:val="0039292A"/>
    <w:rsid w:val="0039715F"/>
    <w:rsid w:val="003975F4"/>
    <w:rsid w:val="003B41F8"/>
    <w:rsid w:val="003D7DC9"/>
    <w:rsid w:val="003E0BFC"/>
    <w:rsid w:val="003E77D9"/>
    <w:rsid w:val="003F488F"/>
    <w:rsid w:val="003F647C"/>
    <w:rsid w:val="0041397E"/>
    <w:rsid w:val="004153EF"/>
    <w:rsid w:val="00424AD7"/>
    <w:rsid w:val="0042745C"/>
    <w:rsid w:val="0043135A"/>
    <w:rsid w:val="0043256E"/>
    <w:rsid w:val="00436C98"/>
    <w:rsid w:val="00442EB9"/>
    <w:rsid w:val="004431C1"/>
    <w:rsid w:val="00443382"/>
    <w:rsid w:val="00452F5F"/>
    <w:rsid w:val="0045519B"/>
    <w:rsid w:val="004839BD"/>
    <w:rsid w:val="004A40BB"/>
    <w:rsid w:val="004A528F"/>
    <w:rsid w:val="004B0B30"/>
    <w:rsid w:val="004B4CE7"/>
    <w:rsid w:val="004C0D68"/>
    <w:rsid w:val="004C1077"/>
    <w:rsid w:val="004F4CC4"/>
    <w:rsid w:val="00506821"/>
    <w:rsid w:val="0051279B"/>
    <w:rsid w:val="00514E65"/>
    <w:rsid w:val="005214A0"/>
    <w:rsid w:val="00534B4B"/>
    <w:rsid w:val="0054326B"/>
    <w:rsid w:val="00555BD9"/>
    <w:rsid w:val="005752D2"/>
    <w:rsid w:val="00583EFF"/>
    <w:rsid w:val="00585F05"/>
    <w:rsid w:val="005933BF"/>
    <w:rsid w:val="005E7A72"/>
    <w:rsid w:val="005F3EDB"/>
    <w:rsid w:val="005F68DB"/>
    <w:rsid w:val="00613EAA"/>
    <w:rsid w:val="006179C4"/>
    <w:rsid w:val="006201A9"/>
    <w:rsid w:val="006344FE"/>
    <w:rsid w:val="006352E2"/>
    <w:rsid w:val="006469AA"/>
    <w:rsid w:val="00647B90"/>
    <w:rsid w:val="006542F5"/>
    <w:rsid w:val="00654729"/>
    <w:rsid w:val="00657500"/>
    <w:rsid w:val="00671FE3"/>
    <w:rsid w:val="00680D21"/>
    <w:rsid w:val="00695D4D"/>
    <w:rsid w:val="006A36CD"/>
    <w:rsid w:val="006B214D"/>
    <w:rsid w:val="006C1FAD"/>
    <w:rsid w:val="006C6E5C"/>
    <w:rsid w:val="006D03BC"/>
    <w:rsid w:val="006D39FB"/>
    <w:rsid w:val="006E3698"/>
    <w:rsid w:val="007072F7"/>
    <w:rsid w:val="00724AB3"/>
    <w:rsid w:val="007261DF"/>
    <w:rsid w:val="007578FC"/>
    <w:rsid w:val="007646FC"/>
    <w:rsid w:val="0077364B"/>
    <w:rsid w:val="0077555B"/>
    <w:rsid w:val="007777C6"/>
    <w:rsid w:val="00781150"/>
    <w:rsid w:val="00782659"/>
    <w:rsid w:val="00782905"/>
    <w:rsid w:val="00785C1C"/>
    <w:rsid w:val="0079578A"/>
    <w:rsid w:val="0079735A"/>
    <w:rsid w:val="007B38F5"/>
    <w:rsid w:val="007B773D"/>
    <w:rsid w:val="007C196C"/>
    <w:rsid w:val="007E56E2"/>
    <w:rsid w:val="007F127D"/>
    <w:rsid w:val="007F1CBD"/>
    <w:rsid w:val="007F4C2F"/>
    <w:rsid w:val="007F711B"/>
    <w:rsid w:val="00802E55"/>
    <w:rsid w:val="008115F3"/>
    <w:rsid w:val="008158D5"/>
    <w:rsid w:val="008316C0"/>
    <w:rsid w:val="00837BB0"/>
    <w:rsid w:val="0084216C"/>
    <w:rsid w:val="008444E2"/>
    <w:rsid w:val="008477B0"/>
    <w:rsid w:val="00855259"/>
    <w:rsid w:val="00860F40"/>
    <w:rsid w:val="00864178"/>
    <w:rsid w:val="00875902"/>
    <w:rsid w:val="008A5113"/>
    <w:rsid w:val="008B09FA"/>
    <w:rsid w:val="008C1766"/>
    <w:rsid w:val="008C1DC7"/>
    <w:rsid w:val="008D37C9"/>
    <w:rsid w:val="008D60DA"/>
    <w:rsid w:val="008E2B80"/>
    <w:rsid w:val="008E3F27"/>
    <w:rsid w:val="008F127C"/>
    <w:rsid w:val="00903DAB"/>
    <w:rsid w:val="009132BE"/>
    <w:rsid w:val="009168A3"/>
    <w:rsid w:val="00932238"/>
    <w:rsid w:val="00943694"/>
    <w:rsid w:val="009466BF"/>
    <w:rsid w:val="00952EAE"/>
    <w:rsid w:val="00964B9A"/>
    <w:rsid w:val="00974ECD"/>
    <w:rsid w:val="0098242D"/>
    <w:rsid w:val="00994B93"/>
    <w:rsid w:val="009A0FAE"/>
    <w:rsid w:val="009C2A3C"/>
    <w:rsid w:val="009F5B21"/>
    <w:rsid w:val="00A216EB"/>
    <w:rsid w:val="00A25A44"/>
    <w:rsid w:val="00A30EA9"/>
    <w:rsid w:val="00A56149"/>
    <w:rsid w:val="00A623BD"/>
    <w:rsid w:val="00A62A5E"/>
    <w:rsid w:val="00A64FB1"/>
    <w:rsid w:val="00A66645"/>
    <w:rsid w:val="00A75604"/>
    <w:rsid w:val="00A83509"/>
    <w:rsid w:val="00A87A90"/>
    <w:rsid w:val="00AA203C"/>
    <w:rsid w:val="00AA65FB"/>
    <w:rsid w:val="00AD1A8B"/>
    <w:rsid w:val="00AD29A3"/>
    <w:rsid w:val="00AE5DFD"/>
    <w:rsid w:val="00AF209D"/>
    <w:rsid w:val="00AF7B95"/>
    <w:rsid w:val="00B14325"/>
    <w:rsid w:val="00B1452F"/>
    <w:rsid w:val="00B32E87"/>
    <w:rsid w:val="00B33E51"/>
    <w:rsid w:val="00B559ED"/>
    <w:rsid w:val="00BA2BDE"/>
    <w:rsid w:val="00BB2F8F"/>
    <w:rsid w:val="00BC2C3D"/>
    <w:rsid w:val="00BE3564"/>
    <w:rsid w:val="00C042B8"/>
    <w:rsid w:val="00C25671"/>
    <w:rsid w:val="00C40ECA"/>
    <w:rsid w:val="00C415F0"/>
    <w:rsid w:val="00C531A6"/>
    <w:rsid w:val="00C548F0"/>
    <w:rsid w:val="00C605EF"/>
    <w:rsid w:val="00C71843"/>
    <w:rsid w:val="00C727CF"/>
    <w:rsid w:val="00C728D9"/>
    <w:rsid w:val="00C90C3A"/>
    <w:rsid w:val="00C91A26"/>
    <w:rsid w:val="00C9211B"/>
    <w:rsid w:val="00CA259A"/>
    <w:rsid w:val="00CA753F"/>
    <w:rsid w:val="00CC34BE"/>
    <w:rsid w:val="00CC3F70"/>
    <w:rsid w:val="00CE2BDA"/>
    <w:rsid w:val="00CE367A"/>
    <w:rsid w:val="00D43D50"/>
    <w:rsid w:val="00D44178"/>
    <w:rsid w:val="00D44DA5"/>
    <w:rsid w:val="00D44F0E"/>
    <w:rsid w:val="00D564E9"/>
    <w:rsid w:val="00D56578"/>
    <w:rsid w:val="00D57C3B"/>
    <w:rsid w:val="00D673C2"/>
    <w:rsid w:val="00D76096"/>
    <w:rsid w:val="00D82758"/>
    <w:rsid w:val="00D909E0"/>
    <w:rsid w:val="00DB2F1C"/>
    <w:rsid w:val="00DF637D"/>
    <w:rsid w:val="00DF7A37"/>
    <w:rsid w:val="00E02046"/>
    <w:rsid w:val="00E16CB6"/>
    <w:rsid w:val="00E31E1D"/>
    <w:rsid w:val="00E33B48"/>
    <w:rsid w:val="00E4055F"/>
    <w:rsid w:val="00E41874"/>
    <w:rsid w:val="00E51B65"/>
    <w:rsid w:val="00E52A90"/>
    <w:rsid w:val="00E65F3A"/>
    <w:rsid w:val="00E6717B"/>
    <w:rsid w:val="00E86152"/>
    <w:rsid w:val="00E869DE"/>
    <w:rsid w:val="00E92EF0"/>
    <w:rsid w:val="00E95143"/>
    <w:rsid w:val="00E95B38"/>
    <w:rsid w:val="00EB1BF5"/>
    <w:rsid w:val="00EB3E1D"/>
    <w:rsid w:val="00ED3453"/>
    <w:rsid w:val="00EE3029"/>
    <w:rsid w:val="00EE47D0"/>
    <w:rsid w:val="00F134BD"/>
    <w:rsid w:val="00F20747"/>
    <w:rsid w:val="00F2511F"/>
    <w:rsid w:val="00F43477"/>
    <w:rsid w:val="00F466B9"/>
    <w:rsid w:val="00FB5AE7"/>
    <w:rsid w:val="00FC5041"/>
    <w:rsid w:val="00FC5815"/>
    <w:rsid w:val="00FE079A"/>
    <w:rsid w:val="00FE791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BC6804"/>
  <w15:docId w15:val="{1AAAFF6A-DF61-455E-AD5A-7C53265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DC7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HPRAbodyChar">
    <w:name w:val="AHPRA body Char"/>
    <w:basedOn w:val="DefaultParagraphFont"/>
    <w:link w:val="AHPRAbody"/>
    <w:rsid w:val="00932238"/>
    <w:rPr>
      <w:rFonts w:ascii="Arial MT Lt" w:hAnsi="Arial MT Lt"/>
      <w:szCs w:val="24"/>
      <w:lang w:eastAsia="en-US"/>
    </w:rPr>
  </w:style>
  <w:style w:type="paragraph" w:customStyle="1" w:styleId="AHPRASubheadinglevel2">
    <w:name w:val="AHPRA Subheading level 2"/>
    <w:basedOn w:val="Normal"/>
    <w:next w:val="Normal"/>
    <w:qFormat/>
    <w:rsid w:val="008A5113"/>
    <w:pPr>
      <w:spacing w:before="200"/>
    </w:pPr>
    <w:rPr>
      <w:rFonts w:ascii="Arial" w:hAnsi="Arial"/>
      <w:b/>
      <w:sz w:val="20"/>
    </w:rPr>
  </w:style>
  <w:style w:type="paragraph" w:customStyle="1" w:styleId="AHPRASubheading">
    <w:name w:val="AHPRA Subheading"/>
    <w:basedOn w:val="Normal"/>
    <w:link w:val="AHPRASubheadingChar"/>
    <w:qFormat/>
    <w:rsid w:val="008A5113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basedOn w:val="DefaultParagraphFont"/>
    <w:link w:val="AHPRASubheading"/>
    <w:rsid w:val="008A5113"/>
    <w:rPr>
      <w:rFonts w:ascii="Arial" w:hAnsi="Arial"/>
      <w:b/>
      <w:color w:val="007DC3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677E"/>
    <w:pPr>
      <w:spacing w:after="0"/>
      <w:ind w:right="68"/>
    </w:pPr>
    <w:rPr>
      <w:rFonts w:ascii="Arial" w:eastAsia="Times New Roman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677E"/>
    <w:rPr>
      <w:rFonts w:ascii="Arial" w:eastAsia="Times New Roman" w:hAnsi="Arial"/>
      <w:lang w:eastAsia="en-US"/>
    </w:r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6D39FB"/>
    <w:pPr>
      <w:numPr>
        <w:ilvl w:val="1"/>
      </w:numPr>
    </w:pPr>
    <w:rPr>
      <w:b w:val="0"/>
      <w:color w:val="auto"/>
    </w:rPr>
  </w:style>
  <w:style w:type="paragraph" w:customStyle="1" w:styleId="AHPRAnumberedsubheadinglevel1">
    <w:name w:val="AHPRA numbered subheading level 1"/>
    <w:basedOn w:val="Normal"/>
    <w:next w:val="AHPRAnumberedbulletpoint"/>
    <w:rsid w:val="006D39FB"/>
    <w:pPr>
      <w:numPr>
        <w:numId w:val="4"/>
      </w:numPr>
      <w:spacing w:before="200"/>
      <w:ind w:left="0" w:firstLine="0"/>
    </w:pPr>
    <w:rPr>
      <w:rFonts w:ascii="Arial" w:eastAsiaTheme="minorHAnsi" w:hAnsi="Arial" w:cs="Arial"/>
      <w:b/>
      <w:color w:val="008EC4"/>
      <w:sz w:val="22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6D39FB"/>
    <w:rPr>
      <w:rFonts w:ascii="Arial" w:eastAsiaTheme="minorHAnsi" w:hAnsi="Arial" w:cs="Arial"/>
      <w:sz w:val="22"/>
      <w:szCs w:val="24"/>
      <w:lang w:eastAsia="en-US"/>
    </w:rPr>
  </w:style>
  <w:style w:type="numbering" w:customStyle="1" w:styleId="AHPRAlist">
    <w:name w:val="AHPRA list"/>
    <w:uiPriority w:val="99"/>
    <w:rsid w:val="006D39FB"/>
    <w:pPr>
      <w:numPr>
        <w:numId w:val="4"/>
      </w:numPr>
    </w:pPr>
  </w:style>
  <w:style w:type="paragraph" w:customStyle="1" w:styleId="AHPRASubheadinglevel3">
    <w:name w:val="AHPRA Subheading level 3"/>
    <w:basedOn w:val="Normal"/>
    <w:next w:val="Normal"/>
    <w:qFormat/>
    <w:rsid w:val="006D39FB"/>
    <w:pPr>
      <w:spacing w:before="200"/>
    </w:pPr>
    <w:rPr>
      <w:rFonts w:ascii="Arial" w:hAnsi="Arial"/>
      <w:i/>
      <w:color w:val="008EC4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8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News/2019-07-25-Cultural-safety-training-provider-announced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08C2-93B4-483E-A8E9-3A849BF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strategy group - Communique - 24 October 2018</vt:lpstr>
    </vt:vector>
  </TitlesOfParts>
  <Company>AHPRA</Company>
  <LinksUpToDate>false</LinksUpToDate>
  <CharactersWithSpaces>3822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strategy group - Communique - 22 July 2019</dc:title>
  <dc:subject>Communique</dc:subject>
  <dc:creator>AHPRA</dc:creator>
  <cp:keywords/>
  <cp:lastModifiedBy>Tom Wade</cp:lastModifiedBy>
  <cp:revision>3</cp:revision>
  <cp:lastPrinted>2010-10-17T23:49:00Z</cp:lastPrinted>
  <dcterms:created xsi:type="dcterms:W3CDTF">2019-08-29T23:32:00Z</dcterms:created>
  <dcterms:modified xsi:type="dcterms:W3CDTF">2019-09-02T00:01:00Z</dcterms:modified>
</cp:coreProperties>
</file>